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788E" w14:textId="7427655F" w:rsidR="00CC4891" w:rsidRPr="00CC4891" w:rsidRDefault="000F2A66" w:rsidP="006F622E">
      <w:pPr>
        <w:jc w:val="center"/>
        <w:rPr>
          <w:b/>
          <w:sz w:val="24"/>
          <w:szCs w:val="24"/>
        </w:rPr>
      </w:pPr>
      <w:bookmarkStart w:id="0" w:name="_GoBack"/>
      <w:bookmarkEnd w:id="0"/>
      <w:r>
        <w:rPr>
          <w:noProof/>
          <w:lang w:eastAsia="en-GB"/>
        </w:rPr>
        <w:drawing>
          <wp:anchor distT="0" distB="0" distL="114300" distR="114300" simplePos="0" relativeHeight="251658240" behindDoc="0" locked="0" layoutInCell="1" allowOverlap="1" wp14:anchorId="361B7D3A" wp14:editId="1CD59877">
            <wp:simplePos x="0" y="0"/>
            <wp:positionH relativeFrom="column">
              <wp:posOffset>-318593</wp:posOffset>
            </wp:positionH>
            <wp:positionV relativeFrom="paragraph">
              <wp:posOffset>-722896</wp:posOffset>
            </wp:positionV>
            <wp:extent cx="1456661" cy="1323423"/>
            <wp:effectExtent l="0" t="0" r="0" b="0"/>
            <wp:wrapNone/>
            <wp:docPr id="1" name="Picture 1" descr="Image result for OBesity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esity Health Alli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61" cy="1323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90849" w14:textId="77777777" w:rsidR="000F2A66" w:rsidRDefault="000F2A66" w:rsidP="006F622E">
      <w:pPr>
        <w:jc w:val="center"/>
        <w:rPr>
          <w:b/>
          <w:sz w:val="24"/>
          <w:szCs w:val="24"/>
        </w:rPr>
      </w:pPr>
    </w:p>
    <w:p w14:paraId="2DA0E885" w14:textId="77777777" w:rsidR="005A485E" w:rsidRPr="00CC4891" w:rsidRDefault="006F622E" w:rsidP="006F622E">
      <w:pPr>
        <w:jc w:val="center"/>
        <w:rPr>
          <w:b/>
          <w:sz w:val="24"/>
          <w:szCs w:val="24"/>
        </w:rPr>
      </w:pPr>
      <w:r w:rsidRPr="00CC4891">
        <w:rPr>
          <w:b/>
          <w:sz w:val="24"/>
          <w:szCs w:val="24"/>
        </w:rPr>
        <w:t>** Under embargo until 00.01 hours, Wednesday 11 October 2017 **</w:t>
      </w:r>
    </w:p>
    <w:p w14:paraId="11050BBD" w14:textId="77777777" w:rsidR="005A485E" w:rsidRPr="005A485E" w:rsidRDefault="005A485E" w:rsidP="005A485E">
      <w:pPr>
        <w:jc w:val="center"/>
        <w:rPr>
          <w:b/>
          <w:sz w:val="28"/>
          <w:szCs w:val="28"/>
        </w:rPr>
      </w:pPr>
      <w:r>
        <w:rPr>
          <w:b/>
          <w:sz w:val="28"/>
          <w:szCs w:val="28"/>
        </w:rPr>
        <w:t>Health costs of</w:t>
      </w:r>
      <w:r w:rsidRPr="005A485E">
        <w:rPr>
          <w:b/>
          <w:sz w:val="28"/>
          <w:szCs w:val="28"/>
        </w:rPr>
        <w:t xml:space="preserve"> obesity soaring as </w:t>
      </w:r>
      <w:r>
        <w:rPr>
          <w:b/>
          <w:sz w:val="28"/>
          <w:szCs w:val="28"/>
        </w:rPr>
        <w:t xml:space="preserve">junk food </w:t>
      </w:r>
      <w:r w:rsidRPr="005A485E">
        <w:rPr>
          <w:b/>
          <w:sz w:val="28"/>
          <w:szCs w:val="28"/>
        </w:rPr>
        <w:t xml:space="preserve">companies pour millions into </w:t>
      </w:r>
      <w:r>
        <w:rPr>
          <w:b/>
          <w:sz w:val="28"/>
          <w:szCs w:val="28"/>
        </w:rPr>
        <w:t>advertising</w:t>
      </w:r>
    </w:p>
    <w:p w14:paraId="09A007D6" w14:textId="77777777" w:rsidR="005A485E" w:rsidRDefault="005A485E" w:rsidP="005A485E">
      <w:pPr>
        <w:jc w:val="center"/>
        <w:rPr>
          <w:sz w:val="28"/>
          <w:szCs w:val="28"/>
        </w:rPr>
      </w:pPr>
      <w:r>
        <w:rPr>
          <w:sz w:val="28"/>
          <w:szCs w:val="28"/>
        </w:rPr>
        <w:t>New analysis reveals:</w:t>
      </w:r>
    </w:p>
    <w:p w14:paraId="5B595CBB" w14:textId="318F012C" w:rsidR="005A485E" w:rsidRDefault="005A485E" w:rsidP="00084CB7">
      <w:pPr>
        <w:pStyle w:val="ListParagraph"/>
        <w:numPr>
          <w:ilvl w:val="0"/>
          <w:numId w:val="5"/>
        </w:numPr>
        <w:jc w:val="center"/>
      </w:pPr>
      <w:r w:rsidRPr="00084CB7">
        <w:t xml:space="preserve">Top </w:t>
      </w:r>
      <w:r w:rsidR="001E17AB">
        <w:t>spending</w:t>
      </w:r>
      <w:r w:rsidRPr="00084CB7">
        <w:t xml:space="preserve"> crisp</w:t>
      </w:r>
      <w:r w:rsidR="00084CB7" w:rsidRPr="00084CB7">
        <w:t>,</w:t>
      </w:r>
      <w:r w:rsidRPr="00084CB7">
        <w:t xml:space="preserve"> confectionary and sugary drinks brands </w:t>
      </w:r>
      <w:r w:rsidR="001E17AB">
        <w:t>put</w:t>
      </w:r>
      <w:r w:rsidRPr="00084CB7">
        <w:t xml:space="preserve"> </w:t>
      </w:r>
      <w:r w:rsidR="00084CB7" w:rsidRPr="00084CB7">
        <w:t xml:space="preserve">over </w:t>
      </w:r>
      <w:r w:rsidR="00084CB7" w:rsidRPr="00084CB7">
        <w:rPr>
          <w:b/>
        </w:rPr>
        <w:t>£143 million</w:t>
      </w:r>
      <w:r w:rsidR="00422EC6">
        <w:rPr>
          <w:rStyle w:val="FootnoteReference"/>
          <w:b/>
        </w:rPr>
        <w:footnoteReference w:id="1"/>
      </w:r>
      <w:r w:rsidR="00084CB7" w:rsidRPr="00084CB7">
        <w:t xml:space="preserve"> a year </w:t>
      </w:r>
      <w:r w:rsidR="001E17AB">
        <w:t>into</w:t>
      </w:r>
      <w:r w:rsidR="00084CB7" w:rsidRPr="00084CB7">
        <w:t xml:space="preserve"> advertising</w:t>
      </w:r>
      <w:r w:rsidR="005D399F">
        <w:t xml:space="preserve"> their products</w:t>
      </w:r>
    </w:p>
    <w:p w14:paraId="364033DF" w14:textId="0279657B" w:rsidR="00647F7A" w:rsidRPr="00084CB7" w:rsidRDefault="008874A2" w:rsidP="00084CB7">
      <w:pPr>
        <w:pStyle w:val="ListParagraph"/>
        <w:numPr>
          <w:ilvl w:val="0"/>
          <w:numId w:val="5"/>
        </w:numPr>
        <w:jc w:val="center"/>
      </w:pPr>
      <w:r w:rsidRPr="005D399F">
        <w:t>This dwarfs the</w:t>
      </w:r>
      <w:r>
        <w:rPr>
          <w:b/>
        </w:rPr>
        <w:t xml:space="preserve"> </w:t>
      </w:r>
      <w:r w:rsidR="00647F7A" w:rsidRPr="00647F7A">
        <w:rPr>
          <w:b/>
        </w:rPr>
        <w:t>£</w:t>
      </w:r>
      <w:r w:rsidR="0000704C">
        <w:rPr>
          <w:b/>
        </w:rPr>
        <w:t>5</w:t>
      </w:r>
      <w:r w:rsidR="005D399F">
        <w:rPr>
          <w:b/>
        </w:rPr>
        <w:t>.</w:t>
      </w:r>
      <w:r w:rsidR="0000704C">
        <w:rPr>
          <w:b/>
        </w:rPr>
        <w:t>2</w:t>
      </w:r>
      <w:r w:rsidR="00647F7A">
        <w:rPr>
          <w:b/>
        </w:rPr>
        <w:t xml:space="preserve"> </w:t>
      </w:r>
      <w:r w:rsidR="00647F7A" w:rsidRPr="00647F7A">
        <w:rPr>
          <w:b/>
        </w:rPr>
        <w:t>m</w:t>
      </w:r>
      <w:r w:rsidR="00647F7A">
        <w:rPr>
          <w:b/>
        </w:rPr>
        <w:t>illion</w:t>
      </w:r>
      <w:r w:rsidR="00360AF8">
        <w:rPr>
          <w:rStyle w:val="FootnoteReference"/>
          <w:b/>
        </w:rPr>
        <w:footnoteReference w:id="2"/>
      </w:r>
      <w:r w:rsidR="00647F7A">
        <w:t xml:space="preserve"> annual spend on Government’s flagship health eating campaign </w:t>
      </w:r>
    </w:p>
    <w:p w14:paraId="60E4F495" w14:textId="478B8776" w:rsidR="00084CB7" w:rsidRDefault="00DF49E5" w:rsidP="005A485E">
      <w:pPr>
        <w:pStyle w:val="ListParagraph"/>
        <w:numPr>
          <w:ilvl w:val="0"/>
          <w:numId w:val="5"/>
        </w:numPr>
        <w:jc w:val="center"/>
      </w:pPr>
      <w:r>
        <w:t xml:space="preserve">Meanwhile the </w:t>
      </w:r>
      <w:r w:rsidR="00084CB7" w:rsidRPr="00084CB7">
        <w:t xml:space="preserve">NHS spends </w:t>
      </w:r>
      <w:r w:rsidR="001E17AB">
        <w:t>an estimated</w:t>
      </w:r>
      <w:r w:rsidR="00084CB7" w:rsidRPr="00084CB7">
        <w:t xml:space="preserve"> </w:t>
      </w:r>
      <w:r w:rsidR="00084CB7" w:rsidRPr="00084CB7">
        <w:rPr>
          <w:b/>
        </w:rPr>
        <w:t>£38 million</w:t>
      </w:r>
      <w:r w:rsidR="00360AF8">
        <w:rPr>
          <w:rStyle w:val="FootnoteReference"/>
          <w:b/>
        </w:rPr>
        <w:footnoteReference w:id="3"/>
      </w:r>
      <w:r w:rsidR="00084CB7" w:rsidRPr="00084CB7">
        <w:t xml:space="preserve"> a year on weight loss surgery</w:t>
      </w:r>
    </w:p>
    <w:p w14:paraId="78F4833A" w14:textId="42161FCF" w:rsidR="00846FA1" w:rsidRPr="007A0AE3" w:rsidRDefault="00084CB7" w:rsidP="005A485E">
      <w:r w:rsidRPr="007A0AE3">
        <w:t xml:space="preserve">Money spent </w:t>
      </w:r>
      <w:r w:rsidR="003774EC" w:rsidRPr="007A0AE3">
        <w:t xml:space="preserve">last year </w:t>
      </w:r>
      <w:r w:rsidRPr="007A0AE3">
        <w:t xml:space="preserve">on junk food </w:t>
      </w:r>
      <w:r w:rsidR="002B51ED" w:rsidRPr="007A0AE3">
        <w:t xml:space="preserve">advertising </w:t>
      </w:r>
      <w:r w:rsidR="00D73A2E" w:rsidRPr="007A0AE3">
        <w:t xml:space="preserve">in the UK </w:t>
      </w:r>
      <w:r w:rsidR="00F507B5" w:rsidRPr="007A0AE3">
        <w:t>far outweighs</w:t>
      </w:r>
      <w:r w:rsidR="00D73A2E" w:rsidRPr="007A0AE3">
        <w:t xml:space="preserve"> </w:t>
      </w:r>
      <w:r w:rsidR="0000704C" w:rsidRPr="007A0AE3">
        <w:t xml:space="preserve">the amount </w:t>
      </w:r>
      <w:r w:rsidR="00D73A2E" w:rsidRPr="007A0AE3">
        <w:t xml:space="preserve">Government </w:t>
      </w:r>
      <w:r w:rsidR="0000704C" w:rsidRPr="007A0AE3">
        <w:t xml:space="preserve">is able to </w:t>
      </w:r>
      <w:r w:rsidR="00D73A2E" w:rsidRPr="007A0AE3">
        <w:t>spend on healthy eating campaigns</w:t>
      </w:r>
      <w:r w:rsidR="007A0AE3" w:rsidRPr="007A0AE3">
        <w:t>,</w:t>
      </w:r>
      <w:r w:rsidR="00FB37B9" w:rsidRPr="007A0AE3">
        <w:t xml:space="preserve"> leading to an unbalanced </w:t>
      </w:r>
      <w:r w:rsidR="007A0AE3" w:rsidRPr="007A0AE3">
        <w:t>environment pushing us towards unhealthy choices</w:t>
      </w:r>
      <w:r w:rsidR="00D73A2E" w:rsidRPr="007A0AE3">
        <w:t xml:space="preserve">, according to new analysis by the Obesity Health Alliance (OHA) published </w:t>
      </w:r>
      <w:r w:rsidR="006F622E" w:rsidRPr="007A0AE3">
        <w:t>on World Obesity Day</w:t>
      </w:r>
      <w:r w:rsidR="00D73A2E" w:rsidRPr="007A0AE3">
        <w:t>.</w:t>
      </w:r>
      <w:r w:rsidR="00846FA1" w:rsidRPr="007A0AE3">
        <w:t xml:space="preserve"> </w:t>
      </w:r>
    </w:p>
    <w:p w14:paraId="41C7492C" w14:textId="602977D3" w:rsidR="00DF49E5" w:rsidRPr="007A0AE3" w:rsidRDefault="00DF49E5" w:rsidP="005A485E">
      <w:r w:rsidRPr="007A0AE3">
        <w:t xml:space="preserve">Junk food brands are spending </w:t>
      </w:r>
      <w:r w:rsidR="009F7447">
        <w:t>27.5</w:t>
      </w:r>
      <w:r w:rsidRPr="007A0AE3">
        <w:t xml:space="preserve"> times more on advertising their products than </w:t>
      </w:r>
      <w:r w:rsidR="0074081A" w:rsidRPr="007A0AE3">
        <w:t>the amount available for the Government’s</w:t>
      </w:r>
      <w:r w:rsidRPr="007A0AE3">
        <w:t xml:space="preserve"> flagship healthy eating campaign – and as obesity rates soar, the NHS is having to spend more dealing with the consequences</w:t>
      </w:r>
      <w:r w:rsidR="005D399F" w:rsidRPr="007A0AE3">
        <w:t>,</w:t>
      </w:r>
      <w:r w:rsidRPr="007A0AE3">
        <w:t xml:space="preserve"> with weight loss surgery alone costing </w:t>
      </w:r>
      <w:r w:rsidR="005D399F" w:rsidRPr="007A0AE3">
        <w:t>an estimated six</w:t>
      </w:r>
      <w:r w:rsidRPr="007A0AE3">
        <w:t xml:space="preserve"> times the amount spent on the Change 4 Life campaign.</w:t>
      </w:r>
    </w:p>
    <w:p w14:paraId="4A87DE8E" w14:textId="403A7B97" w:rsidR="00084CB7" w:rsidRDefault="007513EB" w:rsidP="005A485E">
      <w:r>
        <w:t>The UK’s obesity epidemic</w:t>
      </w:r>
      <w:r w:rsidR="00D73A2E">
        <w:t xml:space="preserve"> threatens to cripple the NHS financially</w:t>
      </w:r>
      <w:r w:rsidR="00846FA1">
        <w:t>, whilst</w:t>
      </w:r>
      <w:r w:rsidR="00D73A2E">
        <w:t xml:space="preserve"> putting the health of the nation at risk</w:t>
      </w:r>
      <w:r w:rsidR="00846FA1">
        <w:t>,</w:t>
      </w:r>
      <w:r w:rsidR="00D73A2E">
        <w:t xml:space="preserve"> says the group of more than 40 leading health charities, medical royal colleges and campaign groups.</w:t>
      </w:r>
      <w:r w:rsidR="005D399F">
        <w:t xml:space="preserve"> The OHA is calling on Government to close existing loopholes to restrict children’s exposure to junk food marketing across all media, including on TV prior to the 9pm watershed. There is clear evidence of the impact of junk food marketing on obesity – with a recent study by Cancer Research UK</w:t>
      </w:r>
      <w:r w:rsidR="005D399F">
        <w:rPr>
          <w:rStyle w:val="FootnoteReference"/>
        </w:rPr>
        <w:footnoteReference w:id="4"/>
      </w:r>
      <w:r w:rsidR="005D399F">
        <w:t xml:space="preserve"> finding that adverts make children ‘ hungry’ and ‘tempted.’  </w:t>
      </w:r>
    </w:p>
    <w:p w14:paraId="5971D30A" w14:textId="77777777" w:rsidR="002B51ED" w:rsidRDefault="00D73A2E" w:rsidP="005A485E">
      <w:r>
        <w:t>Latest figures show that:</w:t>
      </w:r>
    </w:p>
    <w:p w14:paraId="7EB9FE38" w14:textId="102D0BE5" w:rsidR="00D73A2E" w:rsidRDefault="00D73A2E" w:rsidP="00D73A2E">
      <w:pPr>
        <w:pStyle w:val="ListParagraph"/>
        <w:numPr>
          <w:ilvl w:val="0"/>
          <w:numId w:val="6"/>
        </w:numPr>
      </w:pPr>
      <w:r>
        <w:t>The t</w:t>
      </w:r>
      <w:r w:rsidRPr="00084CB7">
        <w:t>op 18</w:t>
      </w:r>
      <w:r w:rsidR="001E17AB">
        <w:t xml:space="preserve"> spending</w:t>
      </w:r>
      <w:r w:rsidRPr="00084CB7">
        <w:t xml:space="preserve"> crisp, confectionary and sugary drinks brands </w:t>
      </w:r>
      <w:r w:rsidR="001E17AB">
        <w:t xml:space="preserve">put over </w:t>
      </w:r>
      <w:r w:rsidRPr="00084CB7">
        <w:t xml:space="preserve"> </w:t>
      </w:r>
      <w:r w:rsidRPr="00084CB7">
        <w:rPr>
          <w:b/>
        </w:rPr>
        <w:t>£143 million</w:t>
      </w:r>
      <w:r w:rsidRPr="00084CB7">
        <w:t xml:space="preserve"> a year </w:t>
      </w:r>
      <w:r w:rsidR="001E17AB">
        <w:t>into</w:t>
      </w:r>
      <w:r w:rsidRPr="00084CB7">
        <w:t xml:space="preserve"> advertising</w:t>
      </w:r>
    </w:p>
    <w:p w14:paraId="610E2FDB" w14:textId="772CAD4A" w:rsidR="00360AF8" w:rsidRPr="00084CB7" w:rsidRDefault="00360AF8" w:rsidP="00360AF8">
      <w:pPr>
        <w:pStyle w:val="ListParagraph"/>
        <w:numPr>
          <w:ilvl w:val="0"/>
          <w:numId w:val="6"/>
        </w:numPr>
      </w:pPr>
      <w:r w:rsidRPr="00084CB7">
        <w:t xml:space="preserve">Government spent </w:t>
      </w:r>
      <w:r w:rsidRPr="00084CB7">
        <w:rPr>
          <w:b/>
        </w:rPr>
        <w:t>£</w:t>
      </w:r>
      <w:r w:rsidR="0000704C">
        <w:rPr>
          <w:b/>
        </w:rPr>
        <w:t>5.2</w:t>
      </w:r>
      <w:r w:rsidRPr="00084CB7">
        <w:rPr>
          <w:b/>
        </w:rPr>
        <w:t>m</w:t>
      </w:r>
      <w:r w:rsidRPr="00084CB7">
        <w:t xml:space="preserve"> </w:t>
      </w:r>
      <w:r>
        <w:t>last year</w:t>
      </w:r>
      <w:r w:rsidRPr="00084CB7">
        <w:t xml:space="preserve"> on</w:t>
      </w:r>
      <w:r>
        <w:t xml:space="preserve"> its Change4Life</w:t>
      </w:r>
      <w:r w:rsidRPr="00084CB7">
        <w:t xml:space="preserve"> health</w:t>
      </w:r>
      <w:r>
        <w:t>y</w:t>
      </w:r>
      <w:r w:rsidRPr="00084CB7">
        <w:t xml:space="preserve"> eating campaign</w:t>
      </w:r>
    </w:p>
    <w:p w14:paraId="405AB782" w14:textId="40AD5A46" w:rsidR="00D73A2E" w:rsidRDefault="00D73A2E" w:rsidP="00D73A2E">
      <w:pPr>
        <w:pStyle w:val="ListParagraph"/>
        <w:numPr>
          <w:ilvl w:val="0"/>
          <w:numId w:val="6"/>
        </w:numPr>
      </w:pPr>
      <w:r>
        <w:t xml:space="preserve">The </w:t>
      </w:r>
      <w:r w:rsidRPr="00084CB7">
        <w:t xml:space="preserve">NHS spends </w:t>
      </w:r>
      <w:r w:rsidR="001E17AB">
        <w:t xml:space="preserve">an estimated </w:t>
      </w:r>
      <w:r w:rsidRPr="00084CB7">
        <w:rPr>
          <w:b/>
        </w:rPr>
        <w:t>£38 million</w:t>
      </w:r>
      <w:r w:rsidRPr="00084CB7">
        <w:t xml:space="preserve"> a year on weight loss surgery</w:t>
      </w:r>
      <w:r w:rsidR="001B2B1E">
        <w:t xml:space="preserve"> – although surgery can be cost saving in the longer term</w:t>
      </w:r>
    </w:p>
    <w:p w14:paraId="733ED828" w14:textId="556D12EF" w:rsidR="009C0B3A" w:rsidRPr="00084CB7" w:rsidRDefault="009C0B3A" w:rsidP="00D73A2E">
      <w:pPr>
        <w:pStyle w:val="ListParagraph"/>
        <w:numPr>
          <w:ilvl w:val="0"/>
          <w:numId w:val="6"/>
        </w:numPr>
      </w:pPr>
      <w:r>
        <w:lastRenderedPageBreak/>
        <w:t xml:space="preserve">Treating obesity relating conditions is estimated to cost the NHS </w:t>
      </w:r>
      <w:r w:rsidRPr="009C0B3A">
        <w:rPr>
          <w:b/>
        </w:rPr>
        <w:t>£5.1 billion</w:t>
      </w:r>
      <w:r>
        <w:t xml:space="preserve"> a year</w:t>
      </w:r>
      <w:r w:rsidR="001B2B1E">
        <w:rPr>
          <w:rStyle w:val="FootnoteReference"/>
        </w:rPr>
        <w:footnoteReference w:id="5"/>
      </w:r>
    </w:p>
    <w:p w14:paraId="475AB336" w14:textId="77777777" w:rsidR="002B51ED" w:rsidRDefault="002B51ED" w:rsidP="005A485E">
      <w:r>
        <w:t xml:space="preserve">Caroline Cerny, </w:t>
      </w:r>
      <w:r w:rsidR="00D73A2E">
        <w:t>OHA</w:t>
      </w:r>
      <w:r>
        <w:t xml:space="preserve"> </w:t>
      </w:r>
      <w:r w:rsidR="002A3727">
        <w:t>L</w:t>
      </w:r>
      <w:r>
        <w:t>ead, said:</w:t>
      </w:r>
    </w:p>
    <w:p w14:paraId="7D99EB0A" w14:textId="771996BD" w:rsidR="002B51ED" w:rsidRDefault="002B51ED" w:rsidP="005A485E">
      <w:r>
        <w:t>“It’s like a very unbalanced diet</w:t>
      </w:r>
      <w:r w:rsidR="00CC4891">
        <w:t xml:space="preserve"> – with children’s health getting a raw deal.</w:t>
      </w:r>
      <w:r>
        <w:t xml:space="preserve"> </w:t>
      </w:r>
      <w:r w:rsidR="005D399F">
        <w:t>J</w:t>
      </w:r>
      <w:r>
        <w:t>unk food companies</w:t>
      </w:r>
      <w:r w:rsidR="00C00493">
        <w:t xml:space="preserve"> are</w:t>
      </w:r>
      <w:r>
        <w:t xml:space="preserve"> spending tens of millions of pounds</w:t>
      </w:r>
      <w:r w:rsidR="002A3727">
        <w:t xml:space="preserve"> a year on</w:t>
      </w:r>
      <w:r>
        <w:t xml:space="preserve"> promoting their products. Government healthy eating campaigns</w:t>
      </w:r>
      <w:r w:rsidR="00C00493">
        <w:t xml:space="preserve"> can’t possibly compete</w:t>
      </w:r>
      <w:r>
        <w:t xml:space="preserve">. </w:t>
      </w:r>
      <w:r w:rsidR="005D399F">
        <w:t>There’s only ever</w:t>
      </w:r>
      <w:r w:rsidR="002A3727">
        <w:t xml:space="preserve"> going to be one winner – so it’s not surprising that the cost of obesity both to peo</w:t>
      </w:r>
      <w:r w:rsidR="00CC4891">
        <w:t xml:space="preserve">ple’s health, </w:t>
      </w:r>
      <w:r w:rsidR="002A3727">
        <w:t>the NHS</w:t>
      </w:r>
      <w:r w:rsidR="009C0B3A">
        <w:t xml:space="preserve"> and wider society</w:t>
      </w:r>
      <w:r w:rsidR="002A3727">
        <w:t>, is</w:t>
      </w:r>
      <w:r w:rsidR="00D73A2E">
        <w:t xml:space="preserve"> spiralling</w:t>
      </w:r>
      <w:r w:rsidR="002A3727">
        <w:t xml:space="preserve"> out of control. Something needs to be done urgently to redress the balance.”</w:t>
      </w:r>
    </w:p>
    <w:p w14:paraId="14DAE954" w14:textId="7D29D6EE" w:rsidR="006F622E" w:rsidRDefault="0090056E" w:rsidP="005A485E">
      <w:r>
        <w:t xml:space="preserve">The OHA also wants to see marketing rules </w:t>
      </w:r>
      <w:r w:rsidR="006F622E">
        <w:t>extended to cover sponsorship of sports</w:t>
      </w:r>
      <w:r w:rsidR="00525001">
        <w:t>,</w:t>
      </w:r>
      <w:r w:rsidR="006F622E">
        <w:t xml:space="preserve"> family attractions and marketing communications in schools.</w:t>
      </w:r>
    </w:p>
    <w:p w14:paraId="2D35F763" w14:textId="398E37BB" w:rsidR="006F622E" w:rsidRDefault="00360AF8" w:rsidP="005A485E">
      <w:r>
        <w:t>Malcolm Clark, Coordinator of the Children’s Food Campaign</w:t>
      </w:r>
      <w:r w:rsidR="006F622E">
        <w:t xml:space="preserve"> added:</w:t>
      </w:r>
    </w:p>
    <w:p w14:paraId="2180FF65" w14:textId="1618CCB6" w:rsidR="00E12AA6" w:rsidRDefault="00525001" w:rsidP="005A485E">
      <w:r>
        <w:t>“</w:t>
      </w:r>
      <w:r w:rsidR="00E12AA6">
        <w:t xml:space="preserve">Investing in prevention is important – the fewer people who are overweight or obese, the fewer obesity related conditions they will suffer and the less cost there will be to the NHS. The </w:t>
      </w:r>
      <w:r w:rsidR="005D399F">
        <w:t xml:space="preserve">soft drinks </w:t>
      </w:r>
      <w:r w:rsidR="00274573">
        <w:t xml:space="preserve">industry </w:t>
      </w:r>
      <w:r w:rsidR="005D399F">
        <w:t xml:space="preserve">levy </w:t>
      </w:r>
      <w:r w:rsidR="00E12AA6">
        <w:t>and reformulation programmes are key to changing the nation’s die</w:t>
      </w:r>
      <w:r w:rsidR="005D399F">
        <w:t>t</w:t>
      </w:r>
      <w:r w:rsidR="00E12AA6">
        <w:t xml:space="preserve">, but </w:t>
      </w:r>
      <w:r w:rsidR="006F622E">
        <w:t xml:space="preserve">without </w:t>
      </w:r>
      <w:r w:rsidR="005D399F">
        <w:t>more effective</w:t>
      </w:r>
      <w:r w:rsidR="006F622E">
        <w:t xml:space="preserve"> restrictions on junk food advertising, any attempts to promote healthy living</w:t>
      </w:r>
      <w:r w:rsidR="0052463D">
        <w:t xml:space="preserve"> are never going to work.</w:t>
      </w:r>
    </w:p>
    <w:p w14:paraId="0A604977" w14:textId="448AD031" w:rsidR="006F622E" w:rsidRDefault="00E12AA6" w:rsidP="005A485E">
      <w:r>
        <w:t>“</w:t>
      </w:r>
      <w:r w:rsidR="00C00493">
        <w:t xml:space="preserve">The role of advertising in driving </w:t>
      </w:r>
      <w:r w:rsidR="00274573">
        <w:t>us</w:t>
      </w:r>
      <w:r w:rsidR="00C00493">
        <w:t xml:space="preserve"> towards unhealthy foods cannot be underestimated</w:t>
      </w:r>
      <w:r w:rsidR="0052463D">
        <w:t>, especially when it comes to children.</w:t>
      </w:r>
      <w:r w:rsidR="00C00493">
        <w:t xml:space="preserve"> This is why chocolate and crisps brands are pumping millions into advertising every year. </w:t>
      </w:r>
      <w:r w:rsidR="0052463D">
        <w:t xml:space="preserve"> </w:t>
      </w:r>
      <w:r w:rsidR="00C00493">
        <w:t>We need the Government to go further to protect children from junk food marketing and to safeguard their future health and to avoid having to spend millions dealing with the consequences down the line</w:t>
      </w:r>
      <w:r w:rsidR="0052463D">
        <w:t>.”</w:t>
      </w:r>
    </w:p>
    <w:p w14:paraId="2AEF0C0F" w14:textId="77777777" w:rsidR="005A485E" w:rsidRPr="0052463D" w:rsidRDefault="0052463D" w:rsidP="0052463D">
      <w:pPr>
        <w:rPr>
          <w:b/>
        </w:rPr>
      </w:pPr>
      <w:r w:rsidRPr="0052463D">
        <w:rPr>
          <w:b/>
        </w:rPr>
        <w:t>Ends.</w:t>
      </w:r>
    </w:p>
    <w:p w14:paraId="2FAE6D46" w14:textId="77777777" w:rsidR="0052463D" w:rsidRDefault="0052463D" w:rsidP="0052463D">
      <w:r>
        <w:t>For more information, contact:</w:t>
      </w:r>
    </w:p>
    <w:p w14:paraId="51A2D764" w14:textId="77777777" w:rsidR="0052463D" w:rsidRDefault="00363B7E" w:rsidP="0052463D">
      <w:hyperlink r:id="rId9" w:history="1">
        <w:r w:rsidR="0052463D" w:rsidRPr="00C30177">
          <w:rPr>
            <w:rStyle w:val="Hyperlink"/>
          </w:rPr>
          <w:t>melissa.milner@rcpch.ac.uk</w:t>
        </w:r>
      </w:hyperlink>
      <w:r w:rsidR="0052463D">
        <w:t xml:space="preserve"> / 0207 092 6005</w:t>
      </w:r>
    </w:p>
    <w:p w14:paraId="6F2E03AC" w14:textId="77777777" w:rsidR="0052463D" w:rsidRDefault="0052463D" w:rsidP="0052463D">
      <w:r>
        <w:t>Or</w:t>
      </w:r>
    </w:p>
    <w:p w14:paraId="37F8D1B5" w14:textId="3759AFBA" w:rsidR="0052463D" w:rsidRDefault="00363B7E" w:rsidP="0052463D">
      <w:pPr>
        <w:rPr>
          <w:rFonts w:ascii="Arial" w:hAnsi="Arial" w:cs="Arial"/>
          <w:b/>
          <w:bCs/>
          <w:color w:val="000000"/>
          <w:sz w:val="20"/>
          <w:szCs w:val="20"/>
          <w:lang w:eastAsia="en-GB"/>
        </w:rPr>
      </w:pPr>
      <w:hyperlink r:id="rId10" w:history="1">
        <w:r w:rsidR="0052463D" w:rsidRPr="00C30177">
          <w:rPr>
            <w:rStyle w:val="Hyperlink"/>
          </w:rPr>
          <w:t>Caroline.cerny@ukhealthforum.org.uk</w:t>
        </w:r>
      </w:hyperlink>
      <w:r w:rsidR="0052463D">
        <w:t xml:space="preserve"> / </w:t>
      </w:r>
      <w:r w:rsidR="0052463D" w:rsidRPr="0052463D">
        <w:rPr>
          <w:rFonts w:cs="Arial"/>
          <w:color w:val="000000"/>
          <w:lang w:eastAsia="en-GB"/>
        </w:rPr>
        <w:t>020 7832 6928</w:t>
      </w:r>
      <w:r w:rsidR="0052463D">
        <w:rPr>
          <w:rFonts w:ascii="Arial" w:hAnsi="Arial" w:cs="Arial"/>
          <w:b/>
          <w:bCs/>
          <w:color w:val="000000"/>
          <w:sz w:val="20"/>
          <w:szCs w:val="20"/>
          <w:lang w:eastAsia="en-GB"/>
        </w:rPr>
        <w:t xml:space="preserve"> </w:t>
      </w:r>
    </w:p>
    <w:p w14:paraId="5076EA3F" w14:textId="77777777" w:rsidR="00360AF8" w:rsidRDefault="00360AF8" w:rsidP="0052463D">
      <w:pPr>
        <w:rPr>
          <w:rFonts w:ascii="Arial" w:hAnsi="Arial" w:cs="Arial"/>
          <w:b/>
          <w:bCs/>
          <w:color w:val="000000"/>
          <w:sz w:val="20"/>
          <w:szCs w:val="20"/>
          <w:lang w:eastAsia="en-GB"/>
        </w:rPr>
      </w:pPr>
    </w:p>
    <w:p w14:paraId="4ED63352" w14:textId="77777777" w:rsidR="00360AF8" w:rsidRPr="00E3338F" w:rsidRDefault="00360AF8" w:rsidP="00360AF8">
      <w:pPr>
        <w:rPr>
          <w:rFonts w:ascii="Calibri" w:hAnsi="Calibri" w:cs="Arial"/>
          <w:b/>
          <w:bCs/>
          <w:color w:val="000000"/>
          <w:lang w:eastAsia="en-GB"/>
        </w:rPr>
      </w:pPr>
      <w:r w:rsidRPr="00E3338F">
        <w:rPr>
          <w:rFonts w:ascii="Calibri" w:hAnsi="Calibri" w:cs="Arial"/>
          <w:b/>
          <w:bCs/>
          <w:color w:val="000000"/>
          <w:lang w:eastAsia="en-GB"/>
        </w:rPr>
        <w:t>Notes to editors</w:t>
      </w:r>
    </w:p>
    <w:p w14:paraId="0A7BAC21" w14:textId="0D2F07C7" w:rsidR="00360AF8" w:rsidRPr="00E3338F" w:rsidRDefault="00360AF8" w:rsidP="00360AF8">
      <w:pPr>
        <w:rPr>
          <w:rFonts w:ascii="Calibri" w:hAnsi="Calibri" w:cs="Arial"/>
          <w:bCs/>
          <w:color w:val="000000"/>
          <w:lang w:eastAsia="en-GB"/>
        </w:rPr>
      </w:pPr>
      <w:r w:rsidRPr="00E3338F">
        <w:rPr>
          <w:rFonts w:ascii="Calibri" w:hAnsi="Calibri" w:cs="Arial"/>
          <w:bCs/>
          <w:color w:val="000000"/>
          <w:lang w:eastAsia="en-GB"/>
        </w:rPr>
        <w:t xml:space="preserve">Information was collected from The Grocer Top 100 Advertising Spend: FMCG Brands. The analysis identifies brands </w:t>
      </w:r>
      <w:r w:rsidR="00FB37B9">
        <w:rPr>
          <w:rFonts w:ascii="Calibri" w:hAnsi="Calibri" w:cs="Arial"/>
          <w:bCs/>
          <w:color w:val="000000"/>
          <w:lang w:eastAsia="en-GB"/>
        </w:rPr>
        <w:t>which are commonly associated with</w:t>
      </w:r>
      <w:r w:rsidRPr="00E3338F">
        <w:rPr>
          <w:rFonts w:ascii="Calibri" w:hAnsi="Calibri" w:cs="Arial"/>
          <w:bCs/>
          <w:color w:val="000000"/>
          <w:lang w:eastAsia="en-GB"/>
        </w:rPr>
        <w:t xml:space="preserve"> crisps, confectionary or sugary drinks</w:t>
      </w:r>
      <w:r w:rsidR="00FB37B9">
        <w:rPr>
          <w:rFonts w:ascii="Calibri" w:hAnsi="Calibri" w:cs="Arial"/>
          <w:bCs/>
          <w:color w:val="000000"/>
          <w:lang w:eastAsia="en-GB"/>
        </w:rPr>
        <w:t xml:space="preserve"> products</w:t>
      </w:r>
      <w:r w:rsidRPr="00E3338F">
        <w:rPr>
          <w:rFonts w:ascii="Calibri" w:hAnsi="Calibri" w:cs="Arial"/>
          <w:bCs/>
          <w:color w:val="000000"/>
          <w:lang w:eastAsia="en-GB"/>
        </w:rPr>
        <w:t xml:space="preserve">; however there may be exceptions where a brand’s advertising spend </w:t>
      </w:r>
      <w:r>
        <w:rPr>
          <w:rFonts w:ascii="Calibri" w:hAnsi="Calibri" w:cs="Arial"/>
          <w:bCs/>
          <w:color w:val="000000"/>
          <w:lang w:eastAsia="en-GB"/>
        </w:rPr>
        <w:t>could include</w:t>
      </w:r>
      <w:r w:rsidRPr="00E3338F">
        <w:rPr>
          <w:rFonts w:ascii="Calibri" w:hAnsi="Calibri" w:cs="Arial"/>
          <w:bCs/>
          <w:color w:val="000000"/>
          <w:lang w:eastAsia="en-GB"/>
        </w:rPr>
        <w:t xml:space="preserve"> a product that is not crisps, confectionary or sugary drinks.</w:t>
      </w:r>
    </w:p>
    <w:tbl>
      <w:tblPr>
        <w:tblStyle w:val="TableGrid"/>
        <w:tblW w:w="0" w:type="auto"/>
        <w:tblLook w:val="04A0" w:firstRow="1" w:lastRow="0" w:firstColumn="1" w:lastColumn="0" w:noHBand="0" w:noVBand="1"/>
      </w:tblPr>
      <w:tblGrid>
        <w:gridCol w:w="937"/>
        <w:gridCol w:w="2553"/>
        <w:gridCol w:w="3118"/>
        <w:gridCol w:w="1411"/>
      </w:tblGrid>
      <w:tr w:rsidR="00360AF8" w:rsidRPr="00E3338F" w14:paraId="6592622F" w14:textId="77777777" w:rsidTr="00335BEE">
        <w:trPr>
          <w:trHeight w:val="20"/>
        </w:trPr>
        <w:tc>
          <w:tcPr>
            <w:tcW w:w="937" w:type="dxa"/>
            <w:hideMark/>
          </w:tcPr>
          <w:p w14:paraId="45873193" w14:textId="77777777" w:rsidR="00360AF8" w:rsidRPr="00E3338F" w:rsidRDefault="00360AF8" w:rsidP="00335BEE">
            <w:pPr>
              <w:rPr>
                <w:rFonts w:ascii="Calibri" w:hAnsi="Calibri"/>
                <w:b/>
                <w:bCs/>
              </w:rPr>
            </w:pPr>
            <w:r w:rsidRPr="00E3338F">
              <w:rPr>
                <w:rFonts w:ascii="Calibri" w:hAnsi="Calibri"/>
                <w:b/>
                <w:bCs/>
              </w:rPr>
              <w:t xml:space="preserve">THIS </w:t>
            </w:r>
            <w:r w:rsidRPr="00E3338F">
              <w:rPr>
                <w:rFonts w:ascii="Calibri" w:hAnsi="Calibri"/>
                <w:b/>
                <w:bCs/>
              </w:rPr>
              <w:lastRenderedPageBreak/>
              <w:t>YEAR'S RANK</w:t>
            </w:r>
          </w:p>
        </w:tc>
        <w:tc>
          <w:tcPr>
            <w:tcW w:w="2553" w:type="dxa"/>
            <w:hideMark/>
          </w:tcPr>
          <w:p w14:paraId="6E85A818" w14:textId="77777777" w:rsidR="00360AF8" w:rsidRPr="00E3338F" w:rsidRDefault="00360AF8" w:rsidP="00335BEE">
            <w:pPr>
              <w:rPr>
                <w:rFonts w:ascii="Calibri" w:hAnsi="Calibri"/>
                <w:b/>
                <w:bCs/>
              </w:rPr>
            </w:pPr>
            <w:r w:rsidRPr="00E3338F">
              <w:rPr>
                <w:rFonts w:ascii="Calibri" w:hAnsi="Calibri"/>
                <w:b/>
                <w:bCs/>
              </w:rPr>
              <w:lastRenderedPageBreak/>
              <w:t>BRANDS</w:t>
            </w:r>
          </w:p>
        </w:tc>
        <w:tc>
          <w:tcPr>
            <w:tcW w:w="3118" w:type="dxa"/>
            <w:hideMark/>
          </w:tcPr>
          <w:p w14:paraId="188E9CCD" w14:textId="77777777" w:rsidR="00360AF8" w:rsidRPr="00E3338F" w:rsidRDefault="00360AF8" w:rsidP="00335BEE">
            <w:pPr>
              <w:rPr>
                <w:rFonts w:ascii="Calibri" w:hAnsi="Calibri"/>
                <w:b/>
                <w:bCs/>
              </w:rPr>
            </w:pPr>
            <w:r w:rsidRPr="00E3338F">
              <w:rPr>
                <w:rFonts w:ascii="Calibri" w:hAnsi="Calibri"/>
                <w:b/>
                <w:bCs/>
              </w:rPr>
              <w:t>HOLDING COMPANIES</w:t>
            </w:r>
          </w:p>
        </w:tc>
        <w:tc>
          <w:tcPr>
            <w:tcW w:w="1411" w:type="dxa"/>
            <w:hideMark/>
          </w:tcPr>
          <w:p w14:paraId="32223685" w14:textId="77777777" w:rsidR="00360AF8" w:rsidRPr="00E3338F" w:rsidRDefault="00360AF8" w:rsidP="00335BEE">
            <w:pPr>
              <w:rPr>
                <w:rFonts w:ascii="Calibri" w:hAnsi="Calibri"/>
                <w:b/>
                <w:bCs/>
              </w:rPr>
            </w:pPr>
            <w:r w:rsidRPr="00E3338F">
              <w:rPr>
                <w:rFonts w:ascii="Calibri" w:hAnsi="Calibri"/>
                <w:b/>
                <w:bCs/>
              </w:rPr>
              <w:t>2016 (£M)</w:t>
            </w:r>
          </w:p>
        </w:tc>
      </w:tr>
      <w:tr w:rsidR="00360AF8" w:rsidRPr="00E3338F" w14:paraId="02EE0E00" w14:textId="77777777" w:rsidTr="00335BEE">
        <w:trPr>
          <w:trHeight w:val="20"/>
        </w:trPr>
        <w:tc>
          <w:tcPr>
            <w:tcW w:w="937" w:type="dxa"/>
            <w:hideMark/>
          </w:tcPr>
          <w:p w14:paraId="3BCD850F" w14:textId="77777777" w:rsidR="00360AF8" w:rsidRPr="00E3338F" w:rsidRDefault="00360AF8" w:rsidP="00335BEE">
            <w:pPr>
              <w:rPr>
                <w:rFonts w:ascii="Calibri" w:hAnsi="Calibri"/>
              </w:rPr>
            </w:pPr>
            <w:r w:rsidRPr="00E3338F">
              <w:rPr>
                <w:rFonts w:ascii="Calibri" w:hAnsi="Calibri"/>
              </w:rPr>
              <w:t>7</w:t>
            </w:r>
          </w:p>
        </w:tc>
        <w:tc>
          <w:tcPr>
            <w:tcW w:w="2553" w:type="dxa"/>
            <w:hideMark/>
          </w:tcPr>
          <w:p w14:paraId="56765E13" w14:textId="77777777" w:rsidR="00360AF8" w:rsidRPr="00E3338F" w:rsidRDefault="00360AF8" w:rsidP="00335BEE">
            <w:pPr>
              <w:rPr>
                <w:rFonts w:ascii="Calibri" w:hAnsi="Calibri"/>
              </w:rPr>
            </w:pPr>
            <w:r w:rsidRPr="00E3338F">
              <w:rPr>
                <w:rFonts w:ascii="Calibri" w:hAnsi="Calibri"/>
              </w:rPr>
              <w:t>Cadbury Dairy Milk</w:t>
            </w:r>
          </w:p>
        </w:tc>
        <w:tc>
          <w:tcPr>
            <w:tcW w:w="3118" w:type="dxa"/>
            <w:hideMark/>
          </w:tcPr>
          <w:p w14:paraId="1603DFA3" w14:textId="77777777" w:rsidR="00360AF8" w:rsidRPr="00E3338F" w:rsidRDefault="00360AF8" w:rsidP="00335BEE">
            <w:pPr>
              <w:rPr>
                <w:rFonts w:ascii="Calibri" w:hAnsi="Calibri"/>
              </w:rPr>
            </w:pPr>
            <w:r w:rsidRPr="00E3338F">
              <w:rPr>
                <w:rFonts w:ascii="Calibri" w:hAnsi="Calibri"/>
              </w:rPr>
              <w:t>Mondelez International</w:t>
            </w:r>
          </w:p>
        </w:tc>
        <w:tc>
          <w:tcPr>
            <w:tcW w:w="1411" w:type="dxa"/>
            <w:hideMark/>
          </w:tcPr>
          <w:p w14:paraId="2DA736CC" w14:textId="77777777" w:rsidR="00360AF8" w:rsidRPr="00E3338F" w:rsidRDefault="00360AF8" w:rsidP="00335BEE">
            <w:pPr>
              <w:rPr>
                <w:rFonts w:ascii="Calibri" w:hAnsi="Calibri"/>
              </w:rPr>
            </w:pPr>
            <w:r w:rsidRPr="00E3338F">
              <w:rPr>
                <w:rFonts w:ascii="Calibri" w:hAnsi="Calibri"/>
              </w:rPr>
              <w:t>£12.30</w:t>
            </w:r>
          </w:p>
        </w:tc>
      </w:tr>
      <w:tr w:rsidR="00360AF8" w:rsidRPr="00E3338F" w14:paraId="5499FB8B" w14:textId="77777777" w:rsidTr="00335BEE">
        <w:trPr>
          <w:trHeight w:val="20"/>
        </w:trPr>
        <w:tc>
          <w:tcPr>
            <w:tcW w:w="937" w:type="dxa"/>
            <w:hideMark/>
          </w:tcPr>
          <w:p w14:paraId="019BB9F8" w14:textId="77777777" w:rsidR="00360AF8" w:rsidRPr="00E3338F" w:rsidRDefault="00360AF8" w:rsidP="00335BEE">
            <w:pPr>
              <w:rPr>
                <w:rFonts w:ascii="Calibri" w:hAnsi="Calibri"/>
              </w:rPr>
            </w:pPr>
            <w:r w:rsidRPr="00E3338F">
              <w:rPr>
                <w:rFonts w:ascii="Calibri" w:hAnsi="Calibri"/>
              </w:rPr>
              <w:t>10</w:t>
            </w:r>
          </w:p>
        </w:tc>
        <w:tc>
          <w:tcPr>
            <w:tcW w:w="2553" w:type="dxa"/>
            <w:hideMark/>
          </w:tcPr>
          <w:p w14:paraId="4E3A19C4" w14:textId="77777777" w:rsidR="00360AF8" w:rsidRPr="00E3338F" w:rsidRDefault="00360AF8" w:rsidP="00335BEE">
            <w:pPr>
              <w:rPr>
                <w:rFonts w:ascii="Calibri" w:hAnsi="Calibri"/>
              </w:rPr>
            </w:pPr>
            <w:r w:rsidRPr="00E3338F">
              <w:rPr>
                <w:rFonts w:ascii="Calibri" w:hAnsi="Calibri"/>
              </w:rPr>
              <w:t>Coca-Cola</w:t>
            </w:r>
          </w:p>
        </w:tc>
        <w:tc>
          <w:tcPr>
            <w:tcW w:w="3118" w:type="dxa"/>
            <w:hideMark/>
          </w:tcPr>
          <w:p w14:paraId="25FB474B" w14:textId="77777777" w:rsidR="00360AF8" w:rsidRPr="00E3338F" w:rsidRDefault="00360AF8" w:rsidP="00335BEE">
            <w:pPr>
              <w:rPr>
                <w:rFonts w:ascii="Calibri" w:hAnsi="Calibri"/>
              </w:rPr>
            </w:pPr>
            <w:r w:rsidRPr="00E3338F">
              <w:rPr>
                <w:rFonts w:ascii="Calibri" w:hAnsi="Calibri"/>
              </w:rPr>
              <w:t>Coca-Cola</w:t>
            </w:r>
          </w:p>
        </w:tc>
        <w:tc>
          <w:tcPr>
            <w:tcW w:w="1411" w:type="dxa"/>
            <w:hideMark/>
          </w:tcPr>
          <w:p w14:paraId="33EADFD7" w14:textId="77777777" w:rsidR="00360AF8" w:rsidRPr="00E3338F" w:rsidRDefault="00360AF8" w:rsidP="00335BEE">
            <w:pPr>
              <w:rPr>
                <w:rFonts w:ascii="Calibri" w:hAnsi="Calibri"/>
              </w:rPr>
            </w:pPr>
            <w:r w:rsidRPr="00E3338F">
              <w:rPr>
                <w:rFonts w:ascii="Calibri" w:hAnsi="Calibri"/>
              </w:rPr>
              <w:t>£11.10</w:t>
            </w:r>
          </w:p>
        </w:tc>
      </w:tr>
      <w:tr w:rsidR="00360AF8" w:rsidRPr="00E3338F" w14:paraId="267477C3" w14:textId="77777777" w:rsidTr="00335BEE">
        <w:trPr>
          <w:trHeight w:val="20"/>
        </w:trPr>
        <w:tc>
          <w:tcPr>
            <w:tcW w:w="937" w:type="dxa"/>
            <w:hideMark/>
          </w:tcPr>
          <w:p w14:paraId="3253E56E" w14:textId="77777777" w:rsidR="00360AF8" w:rsidRPr="00E3338F" w:rsidRDefault="00360AF8" w:rsidP="00335BEE">
            <w:pPr>
              <w:rPr>
                <w:rFonts w:ascii="Calibri" w:hAnsi="Calibri"/>
              </w:rPr>
            </w:pPr>
            <w:r w:rsidRPr="00E3338F">
              <w:rPr>
                <w:rFonts w:ascii="Calibri" w:hAnsi="Calibri"/>
              </w:rPr>
              <w:t>14</w:t>
            </w:r>
          </w:p>
        </w:tc>
        <w:tc>
          <w:tcPr>
            <w:tcW w:w="2553" w:type="dxa"/>
            <w:hideMark/>
          </w:tcPr>
          <w:p w14:paraId="57956FF2" w14:textId="77777777" w:rsidR="00360AF8" w:rsidRPr="00E3338F" w:rsidRDefault="00360AF8" w:rsidP="00335BEE">
            <w:pPr>
              <w:rPr>
                <w:rFonts w:ascii="Calibri" w:hAnsi="Calibri"/>
              </w:rPr>
            </w:pPr>
            <w:r w:rsidRPr="00E3338F">
              <w:rPr>
                <w:rFonts w:ascii="Calibri" w:hAnsi="Calibri"/>
              </w:rPr>
              <w:t>Galaxy</w:t>
            </w:r>
          </w:p>
        </w:tc>
        <w:tc>
          <w:tcPr>
            <w:tcW w:w="3118" w:type="dxa"/>
            <w:hideMark/>
          </w:tcPr>
          <w:p w14:paraId="1AF47F97" w14:textId="77777777" w:rsidR="00360AF8" w:rsidRPr="00E3338F" w:rsidRDefault="00360AF8" w:rsidP="00335BEE">
            <w:pPr>
              <w:rPr>
                <w:rFonts w:ascii="Calibri" w:hAnsi="Calibri"/>
              </w:rPr>
            </w:pPr>
            <w:r w:rsidRPr="00E3338F">
              <w:rPr>
                <w:rFonts w:ascii="Calibri" w:hAnsi="Calibri"/>
              </w:rPr>
              <w:t>Mars UK</w:t>
            </w:r>
          </w:p>
        </w:tc>
        <w:tc>
          <w:tcPr>
            <w:tcW w:w="1411" w:type="dxa"/>
            <w:hideMark/>
          </w:tcPr>
          <w:p w14:paraId="30CF942E" w14:textId="77777777" w:rsidR="00360AF8" w:rsidRPr="00E3338F" w:rsidRDefault="00360AF8" w:rsidP="00335BEE">
            <w:pPr>
              <w:rPr>
                <w:rFonts w:ascii="Calibri" w:hAnsi="Calibri"/>
              </w:rPr>
            </w:pPr>
            <w:r w:rsidRPr="00E3338F">
              <w:rPr>
                <w:rFonts w:ascii="Calibri" w:hAnsi="Calibri"/>
              </w:rPr>
              <w:t>£10.50</w:t>
            </w:r>
          </w:p>
        </w:tc>
      </w:tr>
      <w:tr w:rsidR="00360AF8" w:rsidRPr="00E3338F" w14:paraId="5668BB16" w14:textId="77777777" w:rsidTr="00335BEE">
        <w:trPr>
          <w:trHeight w:val="20"/>
        </w:trPr>
        <w:tc>
          <w:tcPr>
            <w:tcW w:w="937" w:type="dxa"/>
            <w:hideMark/>
          </w:tcPr>
          <w:p w14:paraId="5D233F84" w14:textId="77777777" w:rsidR="00360AF8" w:rsidRPr="00E3338F" w:rsidRDefault="00360AF8" w:rsidP="00335BEE">
            <w:pPr>
              <w:rPr>
                <w:rFonts w:ascii="Calibri" w:hAnsi="Calibri"/>
              </w:rPr>
            </w:pPr>
            <w:r w:rsidRPr="00E3338F">
              <w:rPr>
                <w:rFonts w:ascii="Calibri" w:hAnsi="Calibri"/>
              </w:rPr>
              <w:t>15</w:t>
            </w:r>
          </w:p>
        </w:tc>
        <w:tc>
          <w:tcPr>
            <w:tcW w:w="2553" w:type="dxa"/>
            <w:hideMark/>
          </w:tcPr>
          <w:p w14:paraId="2C489654" w14:textId="77777777" w:rsidR="00360AF8" w:rsidRPr="00E3338F" w:rsidRDefault="00360AF8" w:rsidP="00335BEE">
            <w:pPr>
              <w:rPr>
                <w:rFonts w:ascii="Calibri" w:hAnsi="Calibri"/>
              </w:rPr>
            </w:pPr>
            <w:r w:rsidRPr="00E3338F">
              <w:rPr>
                <w:rFonts w:ascii="Calibri" w:hAnsi="Calibri"/>
              </w:rPr>
              <w:t>Cadbury</w:t>
            </w:r>
          </w:p>
        </w:tc>
        <w:tc>
          <w:tcPr>
            <w:tcW w:w="3118" w:type="dxa"/>
            <w:hideMark/>
          </w:tcPr>
          <w:p w14:paraId="77BBD327" w14:textId="77777777" w:rsidR="00360AF8" w:rsidRPr="00E3338F" w:rsidRDefault="00360AF8" w:rsidP="00335BEE">
            <w:pPr>
              <w:rPr>
                <w:rFonts w:ascii="Calibri" w:hAnsi="Calibri"/>
              </w:rPr>
            </w:pPr>
            <w:r w:rsidRPr="00E3338F">
              <w:rPr>
                <w:rFonts w:ascii="Calibri" w:hAnsi="Calibri"/>
              </w:rPr>
              <w:t>Mondelez International</w:t>
            </w:r>
          </w:p>
        </w:tc>
        <w:tc>
          <w:tcPr>
            <w:tcW w:w="1411" w:type="dxa"/>
            <w:hideMark/>
          </w:tcPr>
          <w:p w14:paraId="7BA079AC" w14:textId="77777777" w:rsidR="00360AF8" w:rsidRPr="00E3338F" w:rsidRDefault="00360AF8" w:rsidP="00335BEE">
            <w:pPr>
              <w:rPr>
                <w:rFonts w:ascii="Calibri" w:hAnsi="Calibri"/>
              </w:rPr>
            </w:pPr>
            <w:r w:rsidRPr="00E3338F">
              <w:rPr>
                <w:rFonts w:ascii="Calibri" w:hAnsi="Calibri"/>
              </w:rPr>
              <w:t>£10.40</w:t>
            </w:r>
          </w:p>
        </w:tc>
      </w:tr>
      <w:tr w:rsidR="00360AF8" w:rsidRPr="00E3338F" w14:paraId="4B35B70F" w14:textId="77777777" w:rsidTr="00335BEE">
        <w:trPr>
          <w:trHeight w:val="20"/>
        </w:trPr>
        <w:tc>
          <w:tcPr>
            <w:tcW w:w="937" w:type="dxa"/>
            <w:hideMark/>
          </w:tcPr>
          <w:p w14:paraId="0ADE21B9" w14:textId="77777777" w:rsidR="00360AF8" w:rsidRPr="00E3338F" w:rsidRDefault="00360AF8" w:rsidP="00335BEE">
            <w:pPr>
              <w:rPr>
                <w:rFonts w:ascii="Calibri" w:hAnsi="Calibri"/>
              </w:rPr>
            </w:pPr>
            <w:r w:rsidRPr="00E3338F">
              <w:rPr>
                <w:rFonts w:ascii="Calibri" w:hAnsi="Calibri"/>
              </w:rPr>
              <w:t>18</w:t>
            </w:r>
          </w:p>
        </w:tc>
        <w:tc>
          <w:tcPr>
            <w:tcW w:w="2553" w:type="dxa"/>
            <w:hideMark/>
          </w:tcPr>
          <w:p w14:paraId="06C06ACF" w14:textId="77777777" w:rsidR="00360AF8" w:rsidRPr="00E3338F" w:rsidRDefault="00360AF8" w:rsidP="00335BEE">
            <w:pPr>
              <w:rPr>
                <w:rFonts w:ascii="Calibri" w:hAnsi="Calibri"/>
              </w:rPr>
            </w:pPr>
            <w:r w:rsidRPr="00E3338F">
              <w:rPr>
                <w:rFonts w:ascii="Calibri" w:hAnsi="Calibri"/>
              </w:rPr>
              <w:t>Maltesers</w:t>
            </w:r>
          </w:p>
        </w:tc>
        <w:tc>
          <w:tcPr>
            <w:tcW w:w="3118" w:type="dxa"/>
            <w:hideMark/>
          </w:tcPr>
          <w:p w14:paraId="1ECE4E4F" w14:textId="77777777" w:rsidR="00360AF8" w:rsidRPr="00E3338F" w:rsidRDefault="00360AF8" w:rsidP="00335BEE">
            <w:pPr>
              <w:rPr>
                <w:rFonts w:ascii="Calibri" w:hAnsi="Calibri"/>
              </w:rPr>
            </w:pPr>
            <w:r w:rsidRPr="00E3338F">
              <w:rPr>
                <w:rFonts w:ascii="Calibri" w:hAnsi="Calibri"/>
              </w:rPr>
              <w:t>Mars UK</w:t>
            </w:r>
          </w:p>
        </w:tc>
        <w:tc>
          <w:tcPr>
            <w:tcW w:w="1411" w:type="dxa"/>
            <w:hideMark/>
          </w:tcPr>
          <w:p w14:paraId="6B9EEEA2" w14:textId="77777777" w:rsidR="00360AF8" w:rsidRPr="00E3338F" w:rsidRDefault="00360AF8" w:rsidP="00335BEE">
            <w:pPr>
              <w:rPr>
                <w:rFonts w:ascii="Calibri" w:hAnsi="Calibri"/>
              </w:rPr>
            </w:pPr>
            <w:r w:rsidRPr="00E3338F">
              <w:rPr>
                <w:rFonts w:ascii="Calibri" w:hAnsi="Calibri"/>
              </w:rPr>
              <w:t>£9.40</w:t>
            </w:r>
          </w:p>
        </w:tc>
      </w:tr>
      <w:tr w:rsidR="00360AF8" w:rsidRPr="00E3338F" w14:paraId="692511B0" w14:textId="77777777" w:rsidTr="00335BEE">
        <w:trPr>
          <w:trHeight w:val="20"/>
        </w:trPr>
        <w:tc>
          <w:tcPr>
            <w:tcW w:w="937" w:type="dxa"/>
            <w:hideMark/>
          </w:tcPr>
          <w:p w14:paraId="66BC9E2D" w14:textId="77777777" w:rsidR="00360AF8" w:rsidRPr="00E3338F" w:rsidRDefault="00360AF8" w:rsidP="00335BEE">
            <w:pPr>
              <w:rPr>
                <w:rFonts w:ascii="Calibri" w:hAnsi="Calibri"/>
              </w:rPr>
            </w:pPr>
            <w:r w:rsidRPr="00E3338F">
              <w:rPr>
                <w:rFonts w:ascii="Calibri" w:hAnsi="Calibri"/>
              </w:rPr>
              <w:t>24</w:t>
            </w:r>
          </w:p>
        </w:tc>
        <w:tc>
          <w:tcPr>
            <w:tcW w:w="2553" w:type="dxa"/>
            <w:hideMark/>
          </w:tcPr>
          <w:p w14:paraId="6D0D1B7B" w14:textId="77777777" w:rsidR="00360AF8" w:rsidRPr="00E3338F" w:rsidRDefault="00360AF8" w:rsidP="00335BEE">
            <w:pPr>
              <w:rPr>
                <w:rFonts w:ascii="Calibri" w:hAnsi="Calibri"/>
              </w:rPr>
            </w:pPr>
            <w:r w:rsidRPr="00E3338F">
              <w:rPr>
                <w:rFonts w:ascii="Calibri" w:hAnsi="Calibri"/>
              </w:rPr>
              <w:t>Lucozade Energy</w:t>
            </w:r>
          </w:p>
        </w:tc>
        <w:tc>
          <w:tcPr>
            <w:tcW w:w="3118" w:type="dxa"/>
            <w:hideMark/>
          </w:tcPr>
          <w:p w14:paraId="2AE4368B" w14:textId="77777777" w:rsidR="00360AF8" w:rsidRPr="00E3338F" w:rsidRDefault="00360AF8" w:rsidP="00335BEE">
            <w:pPr>
              <w:rPr>
                <w:rFonts w:ascii="Calibri" w:hAnsi="Calibri"/>
              </w:rPr>
            </w:pPr>
            <w:r w:rsidRPr="00E3338F">
              <w:rPr>
                <w:rFonts w:ascii="Calibri" w:hAnsi="Calibri"/>
              </w:rPr>
              <w:t>Suntory Holdings</w:t>
            </w:r>
          </w:p>
        </w:tc>
        <w:tc>
          <w:tcPr>
            <w:tcW w:w="1411" w:type="dxa"/>
            <w:hideMark/>
          </w:tcPr>
          <w:p w14:paraId="100D4BE4" w14:textId="77777777" w:rsidR="00360AF8" w:rsidRPr="00E3338F" w:rsidRDefault="00360AF8" w:rsidP="00335BEE">
            <w:pPr>
              <w:rPr>
                <w:rFonts w:ascii="Calibri" w:hAnsi="Calibri"/>
              </w:rPr>
            </w:pPr>
            <w:r w:rsidRPr="00E3338F">
              <w:rPr>
                <w:rFonts w:ascii="Calibri" w:hAnsi="Calibri"/>
              </w:rPr>
              <w:t>£8.70</w:t>
            </w:r>
          </w:p>
        </w:tc>
      </w:tr>
      <w:tr w:rsidR="00360AF8" w:rsidRPr="00E3338F" w14:paraId="5956DBB7" w14:textId="77777777" w:rsidTr="00335BEE">
        <w:trPr>
          <w:trHeight w:val="20"/>
        </w:trPr>
        <w:tc>
          <w:tcPr>
            <w:tcW w:w="937" w:type="dxa"/>
            <w:hideMark/>
          </w:tcPr>
          <w:p w14:paraId="4E247F0E" w14:textId="77777777" w:rsidR="00360AF8" w:rsidRPr="00E3338F" w:rsidRDefault="00360AF8" w:rsidP="00335BEE">
            <w:pPr>
              <w:rPr>
                <w:rFonts w:ascii="Calibri" w:hAnsi="Calibri"/>
              </w:rPr>
            </w:pPr>
            <w:r w:rsidRPr="00E3338F">
              <w:rPr>
                <w:rFonts w:ascii="Calibri" w:hAnsi="Calibri"/>
              </w:rPr>
              <w:t>27</w:t>
            </w:r>
          </w:p>
        </w:tc>
        <w:tc>
          <w:tcPr>
            <w:tcW w:w="2553" w:type="dxa"/>
            <w:hideMark/>
          </w:tcPr>
          <w:p w14:paraId="692B0810" w14:textId="77777777" w:rsidR="00360AF8" w:rsidRPr="00E3338F" w:rsidRDefault="00360AF8" w:rsidP="00335BEE">
            <w:pPr>
              <w:rPr>
                <w:rFonts w:ascii="Calibri" w:hAnsi="Calibri"/>
              </w:rPr>
            </w:pPr>
            <w:r w:rsidRPr="00E3338F">
              <w:rPr>
                <w:rFonts w:ascii="Calibri" w:hAnsi="Calibri"/>
              </w:rPr>
              <w:t>Walkers Crisps</w:t>
            </w:r>
          </w:p>
        </w:tc>
        <w:tc>
          <w:tcPr>
            <w:tcW w:w="3118" w:type="dxa"/>
            <w:hideMark/>
          </w:tcPr>
          <w:p w14:paraId="32E12EB2" w14:textId="77777777" w:rsidR="00360AF8" w:rsidRPr="00E3338F" w:rsidRDefault="00360AF8" w:rsidP="00335BEE">
            <w:pPr>
              <w:rPr>
                <w:rFonts w:ascii="Calibri" w:hAnsi="Calibri"/>
              </w:rPr>
            </w:pPr>
            <w:r w:rsidRPr="00E3338F">
              <w:rPr>
                <w:rFonts w:ascii="Calibri" w:hAnsi="Calibri"/>
              </w:rPr>
              <w:t>PepsiCo</w:t>
            </w:r>
          </w:p>
        </w:tc>
        <w:tc>
          <w:tcPr>
            <w:tcW w:w="1411" w:type="dxa"/>
            <w:hideMark/>
          </w:tcPr>
          <w:p w14:paraId="03C93730" w14:textId="77777777" w:rsidR="00360AF8" w:rsidRPr="00E3338F" w:rsidRDefault="00360AF8" w:rsidP="00335BEE">
            <w:pPr>
              <w:rPr>
                <w:rFonts w:ascii="Calibri" w:hAnsi="Calibri"/>
              </w:rPr>
            </w:pPr>
            <w:r w:rsidRPr="00E3338F">
              <w:rPr>
                <w:rFonts w:ascii="Calibri" w:hAnsi="Calibri"/>
              </w:rPr>
              <w:t>£8.50</w:t>
            </w:r>
          </w:p>
        </w:tc>
      </w:tr>
      <w:tr w:rsidR="00360AF8" w:rsidRPr="00E3338F" w14:paraId="122CDFC5" w14:textId="77777777" w:rsidTr="00335BEE">
        <w:trPr>
          <w:trHeight w:val="20"/>
        </w:trPr>
        <w:tc>
          <w:tcPr>
            <w:tcW w:w="937" w:type="dxa"/>
            <w:hideMark/>
          </w:tcPr>
          <w:p w14:paraId="7437ECEB" w14:textId="77777777" w:rsidR="00360AF8" w:rsidRPr="00E3338F" w:rsidRDefault="00360AF8" w:rsidP="00335BEE">
            <w:pPr>
              <w:rPr>
                <w:rFonts w:ascii="Calibri" w:hAnsi="Calibri"/>
              </w:rPr>
            </w:pPr>
            <w:r w:rsidRPr="00E3338F">
              <w:rPr>
                <w:rFonts w:ascii="Calibri" w:hAnsi="Calibri"/>
              </w:rPr>
              <w:t>32</w:t>
            </w:r>
          </w:p>
        </w:tc>
        <w:tc>
          <w:tcPr>
            <w:tcW w:w="2553" w:type="dxa"/>
            <w:hideMark/>
          </w:tcPr>
          <w:p w14:paraId="2088F3BA" w14:textId="77777777" w:rsidR="00360AF8" w:rsidRPr="00E3338F" w:rsidRDefault="00360AF8" w:rsidP="00335BEE">
            <w:pPr>
              <w:rPr>
                <w:rFonts w:ascii="Calibri" w:hAnsi="Calibri"/>
              </w:rPr>
            </w:pPr>
            <w:r w:rsidRPr="00E3338F">
              <w:rPr>
                <w:rFonts w:ascii="Calibri" w:hAnsi="Calibri"/>
              </w:rPr>
              <w:t>Kinder</w:t>
            </w:r>
          </w:p>
        </w:tc>
        <w:tc>
          <w:tcPr>
            <w:tcW w:w="3118" w:type="dxa"/>
            <w:hideMark/>
          </w:tcPr>
          <w:p w14:paraId="40FADFE4" w14:textId="77777777" w:rsidR="00360AF8" w:rsidRPr="00E3338F" w:rsidRDefault="00360AF8" w:rsidP="00335BEE">
            <w:pPr>
              <w:rPr>
                <w:rFonts w:ascii="Calibri" w:hAnsi="Calibri"/>
              </w:rPr>
            </w:pPr>
            <w:r w:rsidRPr="00E3338F">
              <w:rPr>
                <w:rFonts w:ascii="Calibri" w:hAnsi="Calibri"/>
              </w:rPr>
              <w:t>Ferrero UK</w:t>
            </w:r>
          </w:p>
        </w:tc>
        <w:tc>
          <w:tcPr>
            <w:tcW w:w="1411" w:type="dxa"/>
            <w:hideMark/>
          </w:tcPr>
          <w:p w14:paraId="736C05F1" w14:textId="77777777" w:rsidR="00360AF8" w:rsidRPr="00E3338F" w:rsidRDefault="00360AF8" w:rsidP="00335BEE">
            <w:pPr>
              <w:rPr>
                <w:rFonts w:ascii="Calibri" w:hAnsi="Calibri"/>
              </w:rPr>
            </w:pPr>
            <w:r w:rsidRPr="00E3338F">
              <w:rPr>
                <w:rFonts w:ascii="Calibri" w:hAnsi="Calibri"/>
              </w:rPr>
              <w:t>£8.10</w:t>
            </w:r>
          </w:p>
        </w:tc>
      </w:tr>
      <w:tr w:rsidR="00360AF8" w:rsidRPr="00E3338F" w14:paraId="6F354BC2" w14:textId="77777777" w:rsidTr="00335BEE">
        <w:trPr>
          <w:trHeight w:val="20"/>
        </w:trPr>
        <w:tc>
          <w:tcPr>
            <w:tcW w:w="937" w:type="dxa"/>
            <w:hideMark/>
          </w:tcPr>
          <w:p w14:paraId="5E914DB9" w14:textId="77777777" w:rsidR="00360AF8" w:rsidRPr="00E3338F" w:rsidRDefault="00360AF8" w:rsidP="00335BEE">
            <w:pPr>
              <w:rPr>
                <w:rFonts w:ascii="Calibri" w:hAnsi="Calibri"/>
              </w:rPr>
            </w:pPr>
            <w:r w:rsidRPr="00E3338F">
              <w:rPr>
                <w:rFonts w:ascii="Calibri" w:hAnsi="Calibri"/>
              </w:rPr>
              <w:t>38</w:t>
            </w:r>
          </w:p>
        </w:tc>
        <w:tc>
          <w:tcPr>
            <w:tcW w:w="2553" w:type="dxa"/>
            <w:hideMark/>
          </w:tcPr>
          <w:p w14:paraId="075FA527" w14:textId="77777777" w:rsidR="00360AF8" w:rsidRPr="00E3338F" w:rsidRDefault="00360AF8" w:rsidP="00335BEE">
            <w:pPr>
              <w:rPr>
                <w:rFonts w:ascii="Calibri" w:hAnsi="Calibri"/>
              </w:rPr>
            </w:pPr>
            <w:r w:rsidRPr="00E3338F">
              <w:rPr>
                <w:rFonts w:ascii="Calibri" w:hAnsi="Calibri"/>
              </w:rPr>
              <w:t>Pepsi</w:t>
            </w:r>
          </w:p>
        </w:tc>
        <w:tc>
          <w:tcPr>
            <w:tcW w:w="3118" w:type="dxa"/>
            <w:hideMark/>
          </w:tcPr>
          <w:p w14:paraId="7B4F6EB4" w14:textId="77777777" w:rsidR="00360AF8" w:rsidRPr="00E3338F" w:rsidRDefault="00360AF8" w:rsidP="00335BEE">
            <w:pPr>
              <w:rPr>
                <w:rFonts w:ascii="Calibri" w:hAnsi="Calibri"/>
              </w:rPr>
            </w:pPr>
            <w:r w:rsidRPr="00E3338F">
              <w:rPr>
                <w:rFonts w:ascii="Calibri" w:hAnsi="Calibri"/>
              </w:rPr>
              <w:t>Britvic</w:t>
            </w:r>
          </w:p>
        </w:tc>
        <w:tc>
          <w:tcPr>
            <w:tcW w:w="1411" w:type="dxa"/>
            <w:hideMark/>
          </w:tcPr>
          <w:p w14:paraId="3156EFAB" w14:textId="77777777" w:rsidR="00360AF8" w:rsidRPr="00E3338F" w:rsidRDefault="00360AF8" w:rsidP="00335BEE">
            <w:pPr>
              <w:rPr>
                <w:rFonts w:ascii="Calibri" w:hAnsi="Calibri"/>
              </w:rPr>
            </w:pPr>
            <w:r w:rsidRPr="00E3338F">
              <w:rPr>
                <w:rFonts w:ascii="Calibri" w:hAnsi="Calibri"/>
              </w:rPr>
              <w:t>£7.50</w:t>
            </w:r>
          </w:p>
        </w:tc>
      </w:tr>
      <w:tr w:rsidR="00360AF8" w:rsidRPr="00E3338F" w14:paraId="3508AE3F" w14:textId="77777777" w:rsidTr="00335BEE">
        <w:trPr>
          <w:trHeight w:val="20"/>
        </w:trPr>
        <w:tc>
          <w:tcPr>
            <w:tcW w:w="937" w:type="dxa"/>
            <w:hideMark/>
          </w:tcPr>
          <w:p w14:paraId="6AA84D1B" w14:textId="77777777" w:rsidR="00360AF8" w:rsidRPr="00E3338F" w:rsidRDefault="00360AF8" w:rsidP="00335BEE">
            <w:pPr>
              <w:rPr>
                <w:rFonts w:ascii="Calibri" w:hAnsi="Calibri"/>
              </w:rPr>
            </w:pPr>
            <w:r w:rsidRPr="00E3338F">
              <w:rPr>
                <w:rFonts w:ascii="Calibri" w:hAnsi="Calibri"/>
              </w:rPr>
              <w:t>39</w:t>
            </w:r>
          </w:p>
        </w:tc>
        <w:tc>
          <w:tcPr>
            <w:tcW w:w="2553" w:type="dxa"/>
            <w:hideMark/>
          </w:tcPr>
          <w:p w14:paraId="55A2F9C5" w14:textId="77777777" w:rsidR="00360AF8" w:rsidRPr="00E3338F" w:rsidRDefault="00360AF8" w:rsidP="00335BEE">
            <w:pPr>
              <w:rPr>
                <w:rFonts w:ascii="Calibri" w:hAnsi="Calibri"/>
              </w:rPr>
            </w:pPr>
            <w:r w:rsidRPr="00E3338F">
              <w:rPr>
                <w:rFonts w:ascii="Calibri" w:hAnsi="Calibri"/>
              </w:rPr>
              <w:t>Haribo</w:t>
            </w:r>
          </w:p>
        </w:tc>
        <w:tc>
          <w:tcPr>
            <w:tcW w:w="3118" w:type="dxa"/>
            <w:hideMark/>
          </w:tcPr>
          <w:p w14:paraId="6854E929" w14:textId="77777777" w:rsidR="00360AF8" w:rsidRPr="00E3338F" w:rsidRDefault="00360AF8" w:rsidP="00335BEE">
            <w:pPr>
              <w:rPr>
                <w:rFonts w:ascii="Calibri" w:hAnsi="Calibri"/>
              </w:rPr>
            </w:pPr>
            <w:r w:rsidRPr="00E3338F">
              <w:rPr>
                <w:rFonts w:ascii="Calibri" w:hAnsi="Calibri"/>
              </w:rPr>
              <w:t>Haribo Dunhills</w:t>
            </w:r>
          </w:p>
        </w:tc>
        <w:tc>
          <w:tcPr>
            <w:tcW w:w="1411" w:type="dxa"/>
            <w:hideMark/>
          </w:tcPr>
          <w:p w14:paraId="1C81A7A2" w14:textId="77777777" w:rsidR="00360AF8" w:rsidRPr="00E3338F" w:rsidRDefault="00360AF8" w:rsidP="00335BEE">
            <w:pPr>
              <w:rPr>
                <w:rFonts w:ascii="Calibri" w:hAnsi="Calibri"/>
              </w:rPr>
            </w:pPr>
            <w:r w:rsidRPr="00E3338F">
              <w:rPr>
                <w:rFonts w:ascii="Calibri" w:hAnsi="Calibri"/>
              </w:rPr>
              <w:t>£7.30</w:t>
            </w:r>
          </w:p>
        </w:tc>
      </w:tr>
      <w:tr w:rsidR="00360AF8" w:rsidRPr="00E3338F" w14:paraId="2A67CDA3" w14:textId="77777777" w:rsidTr="00335BEE">
        <w:trPr>
          <w:trHeight w:val="20"/>
        </w:trPr>
        <w:tc>
          <w:tcPr>
            <w:tcW w:w="937" w:type="dxa"/>
            <w:hideMark/>
          </w:tcPr>
          <w:p w14:paraId="291169CD" w14:textId="77777777" w:rsidR="00360AF8" w:rsidRPr="00E3338F" w:rsidRDefault="00360AF8" w:rsidP="00335BEE">
            <w:pPr>
              <w:rPr>
                <w:rFonts w:ascii="Calibri" w:hAnsi="Calibri"/>
              </w:rPr>
            </w:pPr>
            <w:r w:rsidRPr="00E3338F">
              <w:rPr>
                <w:rFonts w:ascii="Calibri" w:hAnsi="Calibri"/>
              </w:rPr>
              <w:t>48</w:t>
            </w:r>
          </w:p>
        </w:tc>
        <w:tc>
          <w:tcPr>
            <w:tcW w:w="2553" w:type="dxa"/>
            <w:hideMark/>
          </w:tcPr>
          <w:p w14:paraId="1C1498D2" w14:textId="77777777" w:rsidR="00360AF8" w:rsidRPr="00E3338F" w:rsidRDefault="00360AF8" w:rsidP="00335BEE">
            <w:pPr>
              <w:rPr>
                <w:rFonts w:ascii="Calibri" w:hAnsi="Calibri"/>
              </w:rPr>
            </w:pPr>
            <w:r w:rsidRPr="00E3338F">
              <w:rPr>
                <w:rFonts w:ascii="Calibri" w:hAnsi="Calibri"/>
              </w:rPr>
              <w:t>Kit Kat</w:t>
            </w:r>
          </w:p>
        </w:tc>
        <w:tc>
          <w:tcPr>
            <w:tcW w:w="3118" w:type="dxa"/>
            <w:hideMark/>
          </w:tcPr>
          <w:p w14:paraId="5D375E5E" w14:textId="77777777" w:rsidR="00360AF8" w:rsidRPr="00E3338F" w:rsidRDefault="00360AF8" w:rsidP="00335BEE">
            <w:pPr>
              <w:rPr>
                <w:rFonts w:ascii="Calibri" w:hAnsi="Calibri"/>
              </w:rPr>
            </w:pPr>
            <w:r w:rsidRPr="00E3338F">
              <w:rPr>
                <w:rFonts w:ascii="Calibri" w:hAnsi="Calibri"/>
              </w:rPr>
              <w:t>Nestle</w:t>
            </w:r>
          </w:p>
        </w:tc>
        <w:tc>
          <w:tcPr>
            <w:tcW w:w="1411" w:type="dxa"/>
            <w:hideMark/>
          </w:tcPr>
          <w:p w14:paraId="302C3130" w14:textId="77777777" w:rsidR="00360AF8" w:rsidRPr="00E3338F" w:rsidRDefault="00360AF8" w:rsidP="00335BEE">
            <w:pPr>
              <w:rPr>
                <w:rFonts w:ascii="Calibri" w:hAnsi="Calibri"/>
              </w:rPr>
            </w:pPr>
            <w:r w:rsidRPr="00E3338F">
              <w:rPr>
                <w:rFonts w:ascii="Calibri" w:hAnsi="Calibri"/>
              </w:rPr>
              <w:t>£6.70</w:t>
            </w:r>
          </w:p>
        </w:tc>
      </w:tr>
      <w:tr w:rsidR="00360AF8" w:rsidRPr="00E3338F" w14:paraId="2F229FEA" w14:textId="77777777" w:rsidTr="00335BEE">
        <w:trPr>
          <w:trHeight w:val="20"/>
        </w:trPr>
        <w:tc>
          <w:tcPr>
            <w:tcW w:w="937" w:type="dxa"/>
            <w:hideMark/>
          </w:tcPr>
          <w:p w14:paraId="6B48BFD4" w14:textId="77777777" w:rsidR="00360AF8" w:rsidRPr="00E3338F" w:rsidRDefault="00360AF8" w:rsidP="00335BEE">
            <w:pPr>
              <w:rPr>
                <w:rFonts w:ascii="Calibri" w:hAnsi="Calibri"/>
              </w:rPr>
            </w:pPr>
            <w:r w:rsidRPr="00E3338F">
              <w:rPr>
                <w:rFonts w:ascii="Calibri" w:hAnsi="Calibri"/>
              </w:rPr>
              <w:t>51</w:t>
            </w:r>
          </w:p>
        </w:tc>
        <w:tc>
          <w:tcPr>
            <w:tcW w:w="2553" w:type="dxa"/>
            <w:hideMark/>
          </w:tcPr>
          <w:p w14:paraId="60F40B25" w14:textId="77777777" w:rsidR="00360AF8" w:rsidRPr="00E3338F" w:rsidRDefault="00360AF8" w:rsidP="00335BEE">
            <w:pPr>
              <w:rPr>
                <w:rFonts w:ascii="Calibri" w:hAnsi="Calibri"/>
              </w:rPr>
            </w:pPr>
            <w:r w:rsidRPr="00E3338F">
              <w:rPr>
                <w:rFonts w:ascii="Calibri" w:hAnsi="Calibri"/>
              </w:rPr>
              <w:t>M&amp;M's</w:t>
            </w:r>
          </w:p>
        </w:tc>
        <w:tc>
          <w:tcPr>
            <w:tcW w:w="3118" w:type="dxa"/>
            <w:hideMark/>
          </w:tcPr>
          <w:p w14:paraId="0D5C7046" w14:textId="77777777" w:rsidR="00360AF8" w:rsidRPr="00E3338F" w:rsidRDefault="00360AF8" w:rsidP="00335BEE">
            <w:pPr>
              <w:rPr>
                <w:rFonts w:ascii="Calibri" w:hAnsi="Calibri"/>
              </w:rPr>
            </w:pPr>
            <w:r w:rsidRPr="00E3338F">
              <w:rPr>
                <w:rFonts w:ascii="Calibri" w:hAnsi="Calibri"/>
              </w:rPr>
              <w:t>Mars UK</w:t>
            </w:r>
          </w:p>
        </w:tc>
        <w:tc>
          <w:tcPr>
            <w:tcW w:w="1411" w:type="dxa"/>
            <w:hideMark/>
          </w:tcPr>
          <w:p w14:paraId="2E4BDB23" w14:textId="77777777" w:rsidR="00360AF8" w:rsidRPr="00E3338F" w:rsidRDefault="00360AF8" w:rsidP="00335BEE">
            <w:pPr>
              <w:rPr>
                <w:rFonts w:ascii="Calibri" w:hAnsi="Calibri"/>
              </w:rPr>
            </w:pPr>
            <w:r w:rsidRPr="00E3338F">
              <w:rPr>
                <w:rFonts w:ascii="Calibri" w:hAnsi="Calibri"/>
              </w:rPr>
              <w:t>£6.60</w:t>
            </w:r>
          </w:p>
        </w:tc>
      </w:tr>
      <w:tr w:rsidR="00360AF8" w:rsidRPr="00E3338F" w14:paraId="0B42B303" w14:textId="77777777" w:rsidTr="00335BEE">
        <w:trPr>
          <w:trHeight w:val="20"/>
        </w:trPr>
        <w:tc>
          <w:tcPr>
            <w:tcW w:w="937" w:type="dxa"/>
            <w:hideMark/>
          </w:tcPr>
          <w:p w14:paraId="5E5D9173" w14:textId="77777777" w:rsidR="00360AF8" w:rsidRPr="00E3338F" w:rsidRDefault="00360AF8" w:rsidP="00335BEE">
            <w:pPr>
              <w:rPr>
                <w:rFonts w:ascii="Calibri" w:hAnsi="Calibri"/>
              </w:rPr>
            </w:pPr>
            <w:r w:rsidRPr="00E3338F">
              <w:rPr>
                <w:rFonts w:ascii="Calibri" w:hAnsi="Calibri"/>
              </w:rPr>
              <w:t>58</w:t>
            </w:r>
          </w:p>
        </w:tc>
        <w:tc>
          <w:tcPr>
            <w:tcW w:w="2553" w:type="dxa"/>
            <w:hideMark/>
          </w:tcPr>
          <w:p w14:paraId="46A1C085" w14:textId="77777777" w:rsidR="00360AF8" w:rsidRPr="00E3338F" w:rsidRDefault="00360AF8" w:rsidP="00335BEE">
            <w:pPr>
              <w:rPr>
                <w:rFonts w:ascii="Calibri" w:hAnsi="Calibri"/>
              </w:rPr>
            </w:pPr>
            <w:r w:rsidRPr="00E3338F">
              <w:rPr>
                <w:rFonts w:ascii="Calibri" w:hAnsi="Calibri"/>
              </w:rPr>
              <w:t>Ferrero</w:t>
            </w:r>
          </w:p>
        </w:tc>
        <w:tc>
          <w:tcPr>
            <w:tcW w:w="3118" w:type="dxa"/>
            <w:hideMark/>
          </w:tcPr>
          <w:p w14:paraId="46637CB1" w14:textId="77777777" w:rsidR="00360AF8" w:rsidRPr="00E3338F" w:rsidRDefault="00360AF8" w:rsidP="00335BEE">
            <w:pPr>
              <w:rPr>
                <w:rFonts w:ascii="Calibri" w:hAnsi="Calibri"/>
              </w:rPr>
            </w:pPr>
            <w:r w:rsidRPr="00E3338F">
              <w:rPr>
                <w:rFonts w:ascii="Calibri" w:hAnsi="Calibri"/>
              </w:rPr>
              <w:t>Ferrero UK</w:t>
            </w:r>
          </w:p>
        </w:tc>
        <w:tc>
          <w:tcPr>
            <w:tcW w:w="1411" w:type="dxa"/>
            <w:hideMark/>
          </w:tcPr>
          <w:p w14:paraId="71B36BFD" w14:textId="77777777" w:rsidR="00360AF8" w:rsidRPr="00E3338F" w:rsidRDefault="00360AF8" w:rsidP="00335BEE">
            <w:pPr>
              <w:rPr>
                <w:rFonts w:ascii="Calibri" w:hAnsi="Calibri"/>
              </w:rPr>
            </w:pPr>
            <w:r w:rsidRPr="00E3338F">
              <w:rPr>
                <w:rFonts w:ascii="Calibri" w:hAnsi="Calibri"/>
              </w:rPr>
              <w:t>£6.20</w:t>
            </w:r>
          </w:p>
        </w:tc>
      </w:tr>
      <w:tr w:rsidR="00360AF8" w:rsidRPr="00E3338F" w14:paraId="76C05773" w14:textId="77777777" w:rsidTr="00335BEE">
        <w:trPr>
          <w:trHeight w:val="20"/>
        </w:trPr>
        <w:tc>
          <w:tcPr>
            <w:tcW w:w="937" w:type="dxa"/>
            <w:hideMark/>
          </w:tcPr>
          <w:p w14:paraId="18DA355C" w14:textId="77777777" w:rsidR="00360AF8" w:rsidRPr="00E3338F" w:rsidRDefault="00360AF8" w:rsidP="00335BEE">
            <w:pPr>
              <w:rPr>
                <w:rFonts w:ascii="Calibri" w:hAnsi="Calibri"/>
              </w:rPr>
            </w:pPr>
            <w:r w:rsidRPr="00E3338F">
              <w:rPr>
                <w:rFonts w:ascii="Calibri" w:hAnsi="Calibri"/>
              </w:rPr>
              <w:t>75</w:t>
            </w:r>
          </w:p>
        </w:tc>
        <w:tc>
          <w:tcPr>
            <w:tcW w:w="2553" w:type="dxa"/>
            <w:hideMark/>
          </w:tcPr>
          <w:p w14:paraId="063DD7E7" w14:textId="77777777" w:rsidR="00360AF8" w:rsidRPr="00E3338F" w:rsidRDefault="00360AF8" w:rsidP="00335BEE">
            <w:pPr>
              <w:rPr>
                <w:rFonts w:ascii="Calibri" w:hAnsi="Calibri"/>
              </w:rPr>
            </w:pPr>
            <w:r w:rsidRPr="00E3338F">
              <w:rPr>
                <w:rFonts w:ascii="Calibri" w:hAnsi="Calibri"/>
              </w:rPr>
              <w:t>Lindt Lindor</w:t>
            </w:r>
          </w:p>
        </w:tc>
        <w:tc>
          <w:tcPr>
            <w:tcW w:w="3118" w:type="dxa"/>
            <w:hideMark/>
          </w:tcPr>
          <w:p w14:paraId="0D90655B" w14:textId="77777777" w:rsidR="00360AF8" w:rsidRPr="00E3338F" w:rsidRDefault="00360AF8" w:rsidP="00335BEE">
            <w:pPr>
              <w:rPr>
                <w:rFonts w:ascii="Calibri" w:hAnsi="Calibri"/>
              </w:rPr>
            </w:pPr>
            <w:r w:rsidRPr="00E3338F">
              <w:rPr>
                <w:rFonts w:ascii="Calibri" w:hAnsi="Calibri"/>
              </w:rPr>
              <w:t>Chocoladefabriken Lindt &amp; Sprungli</w:t>
            </w:r>
          </w:p>
        </w:tc>
        <w:tc>
          <w:tcPr>
            <w:tcW w:w="1411" w:type="dxa"/>
            <w:hideMark/>
          </w:tcPr>
          <w:p w14:paraId="778CFC84" w14:textId="77777777" w:rsidR="00360AF8" w:rsidRPr="00E3338F" w:rsidRDefault="00360AF8" w:rsidP="00335BEE">
            <w:pPr>
              <w:rPr>
                <w:rFonts w:ascii="Calibri" w:hAnsi="Calibri"/>
              </w:rPr>
            </w:pPr>
            <w:r w:rsidRPr="00E3338F">
              <w:rPr>
                <w:rFonts w:ascii="Calibri" w:hAnsi="Calibri"/>
              </w:rPr>
              <w:t>£5.20</w:t>
            </w:r>
          </w:p>
        </w:tc>
      </w:tr>
      <w:tr w:rsidR="00360AF8" w:rsidRPr="00E3338F" w14:paraId="61E7E57D" w14:textId="77777777" w:rsidTr="00335BEE">
        <w:trPr>
          <w:trHeight w:val="20"/>
        </w:trPr>
        <w:tc>
          <w:tcPr>
            <w:tcW w:w="937" w:type="dxa"/>
            <w:hideMark/>
          </w:tcPr>
          <w:p w14:paraId="4BE7CE96" w14:textId="77777777" w:rsidR="00360AF8" w:rsidRPr="00E3338F" w:rsidRDefault="00360AF8" w:rsidP="00335BEE">
            <w:pPr>
              <w:rPr>
                <w:rFonts w:ascii="Calibri" w:hAnsi="Calibri"/>
              </w:rPr>
            </w:pPr>
            <w:r w:rsidRPr="00E3338F">
              <w:rPr>
                <w:rFonts w:ascii="Calibri" w:hAnsi="Calibri"/>
              </w:rPr>
              <w:t>76</w:t>
            </w:r>
          </w:p>
        </w:tc>
        <w:tc>
          <w:tcPr>
            <w:tcW w:w="2553" w:type="dxa"/>
            <w:hideMark/>
          </w:tcPr>
          <w:p w14:paraId="16ED3B6B" w14:textId="77777777" w:rsidR="00360AF8" w:rsidRPr="00E3338F" w:rsidRDefault="00360AF8" w:rsidP="00335BEE">
            <w:pPr>
              <w:rPr>
                <w:rFonts w:ascii="Calibri" w:hAnsi="Calibri"/>
              </w:rPr>
            </w:pPr>
            <w:r w:rsidRPr="00E3338F">
              <w:rPr>
                <w:rFonts w:ascii="Calibri" w:hAnsi="Calibri"/>
              </w:rPr>
              <w:t>Werther's Original</w:t>
            </w:r>
          </w:p>
        </w:tc>
        <w:tc>
          <w:tcPr>
            <w:tcW w:w="3118" w:type="dxa"/>
            <w:hideMark/>
          </w:tcPr>
          <w:p w14:paraId="260D3311" w14:textId="77777777" w:rsidR="00360AF8" w:rsidRPr="00E3338F" w:rsidRDefault="00360AF8" w:rsidP="00335BEE">
            <w:pPr>
              <w:rPr>
                <w:rFonts w:ascii="Calibri" w:hAnsi="Calibri"/>
              </w:rPr>
            </w:pPr>
            <w:r w:rsidRPr="00E3338F">
              <w:rPr>
                <w:rFonts w:ascii="Calibri" w:hAnsi="Calibri"/>
              </w:rPr>
              <w:t>August Storck KG</w:t>
            </w:r>
          </w:p>
        </w:tc>
        <w:tc>
          <w:tcPr>
            <w:tcW w:w="1411" w:type="dxa"/>
            <w:hideMark/>
          </w:tcPr>
          <w:p w14:paraId="636CD9AE" w14:textId="77777777" w:rsidR="00360AF8" w:rsidRPr="00E3338F" w:rsidRDefault="00360AF8" w:rsidP="00335BEE">
            <w:pPr>
              <w:rPr>
                <w:rFonts w:ascii="Calibri" w:hAnsi="Calibri"/>
              </w:rPr>
            </w:pPr>
            <w:r w:rsidRPr="00E3338F">
              <w:rPr>
                <w:rFonts w:ascii="Calibri" w:hAnsi="Calibri"/>
              </w:rPr>
              <w:t>£5.20</w:t>
            </w:r>
          </w:p>
        </w:tc>
      </w:tr>
      <w:tr w:rsidR="00360AF8" w:rsidRPr="00E3338F" w14:paraId="2A33C5CA" w14:textId="77777777" w:rsidTr="00335BEE">
        <w:trPr>
          <w:trHeight w:val="20"/>
        </w:trPr>
        <w:tc>
          <w:tcPr>
            <w:tcW w:w="937" w:type="dxa"/>
            <w:hideMark/>
          </w:tcPr>
          <w:p w14:paraId="185BE13A" w14:textId="77777777" w:rsidR="00360AF8" w:rsidRPr="00E3338F" w:rsidRDefault="00360AF8" w:rsidP="00335BEE">
            <w:pPr>
              <w:rPr>
                <w:rFonts w:ascii="Calibri" w:hAnsi="Calibri"/>
              </w:rPr>
            </w:pPr>
            <w:r w:rsidRPr="00E3338F">
              <w:rPr>
                <w:rFonts w:ascii="Calibri" w:hAnsi="Calibri"/>
              </w:rPr>
              <w:t>77</w:t>
            </w:r>
          </w:p>
        </w:tc>
        <w:tc>
          <w:tcPr>
            <w:tcW w:w="2553" w:type="dxa"/>
            <w:hideMark/>
          </w:tcPr>
          <w:p w14:paraId="17DC285E" w14:textId="77777777" w:rsidR="00360AF8" w:rsidRPr="00E3338F" w:rsidRDefault="00360AF8" w:rsidP="00335BEE">
            <w:pPr>
              <w:rPr>
                <w:rFonts w:ascii="Calibri" w:hAnsi="Calibri"/>
              </w:rPr>
            </w:pPr>
            <w:r w:rsidRPr="00E3338F">
              <w:rPr>
                <w:rFonts w:ascii="Calibri" w:hAnsi="Calibri"/>
              </w:rPr>
              <w:t>Mars Confectionery</w:t>
            </w:r>
          </w:p>
        </w:tc>
        <w:tc>
          <w:tcPr>
            <w:tcW w:w="3118" w:type="dxa"/>
            <w:hideMark/>
          </w:tcPr>
          <w:p w14:paraId="74055DC2" w14:textId="77777777" w:rsidR="00360AF8" w:rsidRPr="00E3338F" w:rsidRDefault="00360AF8" w:rsidP="00335BEE">
            <w:pPr>
              <w:rPr>
                <w:rFonts w:ascii="Calibri" w:hAnsi="Calibri"/>
              </w:rPr>
            </w:pPr>
            <w:r w:rsidRPr="00E3338F">
              <w:rPr>
                <w:rFonts w:ascii="Calibri" w:hAnsi="Calibri"/>
              </w:rPr>
              <w:t>Mars UK</w:t>
            </w:r>
          </w:p>
        </w:tc>
        <w:tc>
          <w:tcPr>
            <w:tcW w:w="1411" w:type="dxa"/>
            <w:hideMark/>
          </w:tcPr>
          <w:p w14:paraId="0CEAE3D9" w14:textId="77777777" w:rsidR="00360AF8" w:rsidRPr="00E3338F" w:rsidRDefault="00360AF8" w:rsidP="00335BEE">
            <w:pPr>
              <w:rPr>
                <w:rFonts w:ascii="Calibri" w:hAnsi="Calibri"/>
              </w:rPr>
            </w:pPr>
            <w:r w:rsidRPr="00E3338F">
              <w:rPr>
                <w:rFonts w:ascii="Calibri" w:hAnsi="Calibri"/>
              </w:rPr>
              <w:t>£5.10</w:t>
            </w:r>
          </w:p>
        </w:tc>
      </w:tr>
      <w:tr w:rsidR="00360AF8" w:rsidRPr="00E3338F" w14:paraId="727BAD12" w14:textId="77777777" w:rsidTr="00335BEE">
        <w:trPr>
          <w:trHeight w:val="20"/>
        </w:trPr>
        <w:tc>
          <w:tcPr>
            <w:tcW w:w="937" w:type="dxa"/>
            <w:hideMark/>
          </w:tcPr>
          <w:p w14:paraId="1F379493" w14:textId="77777777" w:rsidR="00360AF8" w:rsidRPr="00E3338F" w:rsidRDefault="00360AF8" w:rsidP="00335BEE">
            <w:pPr>
              <w:rPr>
                <w:rFonts w:ascii="Calibri" w:hAnsi="Calibri"/>
              </w:rPr>
            </w:pPr>
            <w:r w:rsidRPr="00E3338F">
              <w:rPr>
                <w:rFonts w:ascii="Calibri" w:hAnsi="Calibri"/>
              </w:rPr>
              <w:t>83</w:t>
            </w:r>
          </w:p>
        </w:tc>
        <w:tc>
          <w:tcPr>
            <w:tcW w:w="2553" w:type="dxa"/>
            <w:hideMark/>
          </w:tcPr>
          <w:p w14:paraId="324B9C1A" w14:textId="77777777" w:rsidR="00360AF8" w:rsidRPr="00E3338F" w:rsidRDefault="00360AF8" w:rsidP="00335BEE">
            <w:pPr>
              <w:rPr>
                <w:rFonts w:ascii="Calibri" w:hAnsi="Calibri"/>
              </w:rPr>
            </w:pPr>
            <w:r w:rsidRPr="00E3338F">
              <w:rPr>
                <w:rFonts w:ascii="Calibri" w:hAnsi="Calibri"/>
              </w:rPr>
              <w:t>McVitie's Digestives</w:t>
            </w:r>
          </w:p>
        </w:tc>
        <w:tc>
          <w:tcPr>
            <w:tcW w:w="3118" w:type="dxa"/>
            <w:hideMark/>
          </w:tcPr>
          <w:p w14:paraId="19B05CFA" w14:textId="77777777" w:rsidR="00360AF8" w:rsidRPr="00E3338F" w:rsidRDefault="00360AF8" w:rsidP="00335BEE">
            <w:pPr>
              <w:rPr>
                <w:rFonts w:ascii="Calibri" w:hAnsi="Calibri"/>
              </w:rPr>
            </w:pPr>
            <w:r w:rsidRPr="00E3338F">
              <w:rPr>
                <w:rFonts w:ascii="Calibri" w:hAnsi="Calibri"/>
              </w:rPr>
              <w:t>Yildiz Holding</w:t>
            </w:r>
          </w:p>
        </w:tc>
        <w:tc>
          <w:tcPr>
            <w:tcW w:w="1411" w:type="dxa"/>
            <w:hideMark/>
          </w:tcPr>
          <w:p w14:paraId="1DEB99E5" w14:textId="77777777" w:rsidR="00360AF8" w:rsidRPr="00E3338F" w:rsidRDefault="00360AF8" w:rsidP="00335BEE">
            <w:pPr>
              <w:rPr>
                <w:rFonts w:ascii="Calibri" w:hAnsi="Calibri"/>
              </w:rPr>
            </w:pPr>
            <w:r w:rsidRPr="00E3338F">
              <w:rPr>
                <w:rFonts w:ascii="Calibri" w:hAnsi="Calibri"/>
              </w:rPr>
              <w:t>£4.90</w:t>
            </w:r>
          </w:p>
        </w:tc>
      </w:tr>
      <w:tr w:rsidR="00360AF8" w:rsidRPr="00E3338F" w14:paraId="3E9ECD49" w14:textId="77777777" w:rsidTr="00335BEE">
        <w:trPr>
          <w:trHeight w:val="20"/>
        </w:trPr>
        <w:tc>
          <w:tcPr>
            <w:tcW w:w="937" w:type="dxa"/>
            <w:hideMark/>
          </w:tcPr>
          <w:p w14:paraId="0DAB854D" w14:textId="77777777" w:rsidR="00360AF8" w:rsidRPr="00E3338F" w:rsidRDefault="00360AF8" w:rsidP="00335BEE">
            <w:pPr>
              <w:rPr>
                <w:rFonts w:ascii="Calibri" w:hAnsi="Calibri"/>
              </w:rPr>
            </w:pPr>
            <w:r w:rsidRPr="00E3338F">
              <w:rPr>
                <w:rFonts w:ascii="Calibri" w:hAnsi="Calibri"/>
              </w:rPr>
              <w:t>85</w:t>
            </w:r>
          </w:p>
        </w:tc>
        <w:tc>
          <w:tcPr>
            <w:tcW w:w="2553" w:type="dxa"/>
            <w:hideMark/>
          </w:tcPr>
          <w:p w14:paraId="082594E5" w14:textId="77777777" w:rsidR="00360AF8" w:rsidRPr="00E3338F" w:rsidRDefault="00360AF8" w:rsidP="00335BEE">
            <w:pPr>
              <w:rPr>
                <w:rFonts w:ascii="Calibri" w:hAnsi="Calibri"/>
              </w:rPr>
            </w:pPr>
            <w:r w:rsidRPr="00E3338F">
              <w:rPr>
                <w:rFonts w:ascii="Calibri" w:hAnsi="Calibri"/>
              </w:rPr>
              <w:t>Doritos</w:t>
            </w:r>
          </w:p>
        </w:tc>
        <w:tc>
          <w:tcPr>
            <w:tcW w:w="3118" w:type="dxa"/>
            <w:hideMark/>
          </w:tcPr>
          <w:p w14:paraId="24CDD854" w14:textId="77777777" w:rsidR="00360AF8" w:rsidRPr="00E3338F" w:rsidRDefault="00360AF8" w:rsidP="00335BEE">
            <w:pPr>
              <w:rPr>
                <w:rFonts w:ascii="Calibri" w:hAnsi="Calibri"/>
              </w:rPr>
            </w:pPr>
            <w:r w:rsidRPr="00E3338F">
              <w:rPr>
                <w:rFonts w:ascii="Calibri" w:hAnsi="Calibri"/>
              </w:rPr>
              <w:t>PepsiCo</w:t>
            </w:r>
          </w:p>
        </w:tc>
        <w:tc>
          <w:tcPr>
            <w:tcW w:w="1411" w:type="dxa"/>
            <w:hideMark/>
          </w:tcPr>
          <w:p w14:paraId="07F0DEC4" w14:textId="77777777" w:rsidR="00360AF8" w:rsidRPr="00E3338F" w:rsidRDefault="00360AF8" w:rsidP="00335BEE">
            <w:pPr>
              <w:rPr>
                <w:rFonts w:ascii="Calibri" w:hAnsi="Calibri"/>
              </w:rPr>
            </w:pPr>
            <w:r w:rsidRPr="00E3338F">
              <w:rPr>
                <w:rFonts w:ascii="Calibri" w:hAnsi="Calibri"/>
              </w:rPr>
              <w:t>£4.80</w:t>
            </w:r>
          </w:p>
        </w:tc>
      </w:tr>
      <w:tr w:rsidR="00360AF8" w:rsidRPr="00E3338F" w14:paraId="600A955C" w14:textId="77777777" w:rsidTr="00335BEE">
        <w:trPr>
          <w:trHeight w:val="20"/>
        </w:trPr>
        <w:tc>
          <w:tcPr>
            <w:tcW w:w="937" w:type="dxa"/>
            <w:hideMark/>
          </w:tcPr>
          <w:p w14:paraId="6D363951" w14:textId="77777777" w:rsidR="00360AF8" w:rsidRPr="00E3338F" w:rsidRDefault="00360AF8" w:rsidP="00335BEE">
            <w:pPr>
              <w:rPr>
                <w:rFonts w:ascii="Calibri" w:hAnsi="Calibri"/>
              </w:rPr>
            </w:pPr>
            <w:r w:rsidRPr="00E3338F">
              <w:rPr>
                <w:rFonts w:ascii="Calibri" w:hAnsi="Calibri"/>
              </w:rPr>
              <w:t>88</w:t>
            </w:r>
          </w:p>
        </w:tc>
        <w:tc>
          <w:tcPr>
            <w:tcW w:w="2553" w:type="dxa"/>
            <w:hideMark/>
          </w:tcPr>
          <w:p w14:paraId="5441C36C" w14:textId="77777777" w:rsidR="00360AF8" w:rsidRPr="00E3338F" w:rsidRDefault="00360AF8" w:rsidP="00335BEE">
            <w:pPr>
              <w:rPr>
                <w:rFonts w:ascii="Calibri" w:hAnsi="Calibri"/>
              </w:rPr>
            </w:pPr>
            <w:r w:rsidRPr="00E3338F">
              <w:rPr>
                <w:rFonts w:ascii="Calibri" w:hAnsi="Calibri"/>
              </w:rPr>
              <w:t>Lindt Excellence</w:t>
            </w:r>
          </w:p>
        </w:tc>
        <w:tc>
          <w:tcPr>
            <w:tcW w:w="3118" w:type="dxa"/>
            <w:hideMark/>
          </w:tcPr>
          <w:p w14:paraId="79F2EEC2" w14:textId="77777777" w:rsidR="00360AF8" w:rsidRPr="00E3338F" w:rsidRDefault="00360AF8" w:rsidP="00335BEE">
            <w:pPr>
              <w:rPr>
                <w:rFonts w:ascii="Calibri" w:hAnsi="Calibri"/>
              </w:rPr>
            </w:pPr>
            <w:r w:rsidRPr="00E3338F">
              <w:rPr>
                <w:rFonts w:ascii="Calibri" w:hAnsi="Calibri"/>
              </w:rPr>
              <w:t>Chocoladefabriken Lindt &amp; Sprungli</w:t>
            </w:r>
          </w:p>
        </w:tc>
        <w:tc>
          <w:tcPr>
            <w:tcW w:w="1411" w:type="dxa"/>
            <w:hideMark/>
          </w:tcPr>
          <w:p w14:paraId="77BE7139" w14:textId="77777777" w:rsidR="00360AF8" w:rsidRPr="00E3338F" w:rsidRDefault="00360AF8" w:rsidP="00335BEE">
            <w:pPr>
              <w:rPr>
                <w:rFonts w:ascii="Calibri" w:hAnsi="Calibri"/>
              </w:rPr>
            </w:pPr>
            <w:r w:rsidRPr="00E3338F">
              <w:rPr>
                <w:rFonts w:ascii="Calibri" w:hAnsi="Calibri"/>
              </w:rPr>
              <w:t>£4.70</w:t>
            </w:r>
          </w:p>
        </w:tc>
      </w:tr>
    </w:tbl>
    <w:p w14:paraId="1110DBCB" w14:textId="77777777" w:rsidR="00360AF8" w:rsidRDefault="00360AF8" w:rsidP="00360AF8"/>
    <w:p w14:paraId="7D054933" w14:textId="77777777" w:rsidR="00360AF8" w:rsidRDefault="00360AF8" w:rsidP="0052463D"/>
    <w:sectPr w:rsidR="00360A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4651" w14:textId="77777777" w:rsidR="00647AF4" w:rsidRDefault="00647AF4" w:rsidP="009C0B3A">
      <w:pPr>
        <w:spacing w:after="0" w:line="240" w:lineRule="auto"/>
      </w:pPr>
      <w:r>
        <w:separator/>
      </w:r>
    </w:p>
  </w:endnote>
  <w:endnote w:type="continuationSeparator" w:id="0">
    <w:p w14:paraId="1A9A5157" w14:textId="77777777" w:rsidR="00647AF4" w:rsidRDefault="00647AF4" w:rsidP="009C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1E3BE" w14:textId="77777777" w:rsidR="00647AF4" w:rsidRDefault="00647AF4" w:rsidP="009C0B3A">
      <w:pPr>
        <w:spacing w:after="0" w:line="240" w:lineRule="auto"/>
      </w:pPr>
      <w:r>
        <w:separator/>
      </w:r>
    </w:p>
  </w:footnote>
  <w:footnote w:type="continuationSeparator" w:id="0">
    <w:p w14:paraId="15AFFE45" w14:textId="77777777" w:rsidR="00647AF4" w:rsidRDefault="00647AF4" w:rsidP="009C0B3A">
      <w:pPr>
        <w:spacing w:after="0" w:line="240" w:lineRule="auto"/>
      </w:pPr>
      <w:r>
        <w:continuationSeparator/>
      </w:r>
    </w:p>
  </w:footnote>
  <w:footnote w:id="1">
    <w:p w14:paraId="40B4B249" w14:textId="279B538A" w:rsidR="00422EC6" w:rsidRDefault="00422EC6" w:rsidP="00CC4891">
      <w:pPr>
        <w:pStyle w:val="FootnoteText"/>
        <w:contextualSpacing/>
      </w:pPr>
      <w:r>
        <w:rPr>
          <w:rStyle w:val="FootnoteReference"/>
        </w:rPr>
        <w:footnoteRef/>
      </w:r>
      <w:r w:rsidRPr="00422EC6">
        <w:rPr>
          <w:sz w:val="18"/>
          <w:szCs w:val="18"/>
        </w:rPr>
        <w:t xml:space="preserve"> </w:t>
      </w:r>
      <w:r w:rsidRPr="00422EC6">
        <w:rPr>
          <w:rFonts w:cs="Helvetica"/>
          <w:color w:val="0E0E0E"/>
          <w:sz w:val="18"/>
          <w:szCs w:val="18"/>
          <w:shd w:val="clear" w:color="auto" w:fill="FFFFFF"/>
        </w:rPr>
        <w:t xml:space="preserve">Top 100 HFSS brands in 2016 - </w:t>
      </w:r>
      <w:hyperlink r:id="rId1" w:history="1">
        <w:r w:rsidRPr="00422EC6">
          <w:rPr>
            <w:rStyle w:val="Hyperlink"/>
            <w:rFonts w:cs="Helvetica"/>
            <w:sz w:val="18"/>
            <w:szCs w:val="18"/>
            <w:shd w:val="clear" w:color="auto" w:fill="FFFFFF"/>
          </w:rPr>
          <w:t>https://www.thegrocer.co.uk/attachment?storycode=550799&amp;attype=T&amp;atcode=113157</w:t>
        </w:r>
      </w:hyperlink>
    </w:p>
  </w:footnote>
  <w:footnote w:id="2">
    <w:p w14:paraId="43DA3EA9" w14:textId="4BB59A6A" w:rsidR="00360AF8" w:rsidRDefault="00360AF8">
      <w:pPr>
        <w:pStyle w:val="FootnoteText"/>
      </w:pPr>
      <w:r>
        <w:rPr>
          <w:rStyle w:val="FootnoteReference"/>
        </w:rPr>
        <w:footnoteRef/>
      </w:r>
      <w:r>
        <w:t xml:space="preserve"> </w:t>
      </w:r>
      <w:r w:rsidRPr="00422EC6">
        <w:rPr>
          <w:sz w:val="18"/>
          <w:szCs w:val="18"/>
        </w:rPr>
        <w:t xml:space="preserve">ChangeforLife 2016 </w:t>
      </w:r>
      <w:r w:rsidR="0000704C">
        <w:rPr>
          <w:sz w:val="18"/>
          <w:szCs w:val="18"/>
        </w:rPr>
        <w:t>budget as confirmed by Pubic Health England</w:t>
      </w:r>
      <w:r w:rsidRPr="00422EC6">
        <w:rPr>
          <w:sz w:val="18"/>
          <w:szCs w:val="18"/>
        </w:rPr>
        <w:t xml:space="preserve"> </w:t>
      </w:r>
    </w:p>
  </w:footnote>
  <w:footnote w:id="3">
    <w:p w14:paraId="4ED8A324" w14:textId="5ABB049C" w:rsidR="00360AF8" w:rsidRDefault="00360AF8">
      <w:pPr>
        <w:pStyle w:val="FootnoteText"/>
      </w:pPr>
      <w:r>
        <w:rPr>
          <w:rStyle w:val="FootnoteReference"/>
        </w:rPr>
        <w:footnoteRef/>
      </w:r>
      <w:r>
        <w:t xml:space="preserve"> </w:t>
      </w:r>
      <w:r>
        <w:rPr>
          <w:rFonts w:cs="Helvetica"/>
          <w:color w:val="0E0E0E"/>
          <w:sz w:val="18"/>
          <w:szCs w:val="18"/>
          <w:shd w:val="clear" w:color="auto" w:fill="FFFFFF"/>
        </w:rPr>
        <w:t>I</w:t>
      </w:r>
      <w:r w:rsidRPr="00422EC6">
        <w:rPr>
          <w:rFonts w:cs="Helvetica"/>
          <w:color w:val="0E0E0E"/>
          <w:sz w:val="18"/>
          <w:szCs w:val="18"/>
          <w:shd w:val="clear" w:color="auto" w:fill="FFFFFF"/>
        </w:rPr>
        <w:t>nitial cost of weight loss surgery to NHS is around £6,000 (</w:t>
      </w:r>
      <w:hyperlink r:id="rId2" w:history="1">
        <w:r w:rsidRPr="00422EC6">
          <w:rPr>
            <w:rStyle w:val="Hyperlink"/>
            <w:rFonts w:cs="Helvetica"/>
            <w:sz w:val="18"/>
            <w:szCs w:val="18"/>
            <w:shd w:val="clear" w:color="auto" w:fill="FFFFFF"/>
          </w:rPr>
          <w:t>https://www.nice.org.uk/news/article/offer-weight-loss-surgery-to-diabetics</w:t>
        </w:r>
      </w:hyperlink>
      <w:r w:rsidRPr="00422EC6">
        <w:rPr>
          <w:rFonts w:cs="Helvetica"/>
          <w:color w:val="0E0E0E"/>
          <w:sz w:val="18"/>
          <w:szCs w:val="18"/>
          <w:shd w:val="clear" w:color="auto" w:fill="FFFFFF"/>
        </w:rPr>
        <w:t xml:space="preserve">). </w:t>
      </w:r>
      <w:r w:rsidRPr="00422EC6">
        <w:rPr>
          <w:sz w:val="18"/>
          <w:szCs w:val="18"/>
        </w:rPr>
        <w:t>In 2015/16, there were 6,438 Finished Consultant Episodes (FCE’s) in NHS hospitals with a primary diagnosis of obesity and a main or secondary procedure of bariatric surgery (</w:t>
      </w:r>
      <w:hyperlink r:id="rId3" w:history="1">
        <w:r w:rsidRPr="00422EC6">
          <w:rPr>
            <w:rStyle w:val="Hyperlink"/>
            <w:sz w:val="18"/>
            <w:szCs w:val="18"/>
          </w:rPr>
          <w:t>http://www.content.digital.nhs.uk/catalogue/PUB23742</w:t>
        </w:r>
      </w:hyperlink>
      <w:r w:rsidRPr="00422EC6">
        <w:rPr>
          <w:sz w:val="18"/>
          <w:szCs w:val="18"/>
        </w:rPr>
        <w:t>)</w:t>
      </w:r>
    </w:p>
  </w:footnote>
  <w:footnote w:id="4">
    <w:p w14:paraId="38C03192" w14:textId="77777777" w:rsidR="005D399F" w:rsidRPr="00CC4891" w:rsidRDefault="005D399F" w:rsidP="005D399F">
      <w:pPr>
        <w:pStyle w:val="FootnoteText"/>
        <w:rPr>
          <w:sz w:val="18"/>
          <w:szCs w:val="18"/>
        </w:rPr>
      </w:pPr>
      <w:r w:rsidRPr="00CC4891">
        <w:rPr>
          <w:rStyle w:val="FootnoteReference"/>
          <w:sz w:val="18"/>
          <w:szCs w:val="18"/>
        </w:rPr>
        <w:footnoteRef/>
      </w:r>
      <w:r w:rsidRPr="00CC4891">
        <w:rPr>
          <w:sz w:val="18"/>
          <w:szCs w:val="18"/>
        </w:rPr>
        <w:t xml:space="preserve"> </w:t>
      </w:r>
      <w:hyperlink r:id="rId4" w:history="1">
        <w:r w:rsidRPr="00CC4891">
          <w:rPr>
            <w:rStyle w:val="Hyperlink"/>
            <w:sz w:val="18"/>
            <w:szCs w:val="18"/>
          </w:rPr>
          <w:t>http://www.cancerresearchuk.org/about-us/cancer-news/press-release/2016-07-05-junk-food-advertising-is-too-tempting-for-children</w:t>
        </w:r>
      </w:hyperlink>
    </w:p>
  </w:footnote>
  <w:footnote w:id="5">
    <w:p w14:paraId="1C6D0B90" w14:textId="77777777" w:rsidR="001B2B1E" w:rsidRDefault="001B2B1E" w:rsidP="001B2B1E">
      <w:pPr>
        <w:pStyle w:val="FootnoteText"/>
        <w:contextualSpacing/>
      </w:pPr>
      <w:r>
        <w:rPr>
          <w:rStyle w:val="FootnoteReference"/>
        </w:rPr>
        <w:footnoteRef/>
      </w:r>
      <w:r>
        <w:t xml:space="preserve"> </w:t>
      </w:r>
      <w:r w:rsidRPr="00CC4891">
        <w:rPr>
          <w:i/>
          <w:iCs/>
          <w:color w:val="000000"/>
          <w:sz w:val="18"/>
          <w:szCs w:val="18"/>
        </w:rPr>
        <w:t>Scarborough P, Bhatnagar P, Wickramasinghe KK et al. The economic burden of ill health due to diet, physical inactivity, smoking, alcohol and obesity in the UK: an update to 2006/07 NHS costs. J Public Health (Oxon) 2011;33(4):527-35.</w:t>
      </w:r>
    </w:p>
    <w:p w14:paraId="547C3D0E" w14:textId="39DFBC1B" w:rsidR="001B2B1E" w:rsidRDefault="001B2B1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357"/>
    <w:multiLevelType w:val="hybridMultilevel"/>
    <w:tmpl w:val="52945AB8"/>
    <w:lvl w:ilvl="0" w:tplc="901E4A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46E3D"/>
    <w:multiLevelType w:val="hybridMultilevel"/>
    <w:tmpl w:val="DAAC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03DE"/>
    <w:multiLevelType w:val="hybridMultilevel"/>
    <w:tmpl w:val="FD7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B6DDC"/>
    <w:multiLevelType w:val="hybridMultilevel"/>
    <w:tmpl w:val="B6A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71ABE"/>
    <w:multiLevelType w:val="hybridMultilevel"/>
    <w:tmpl w:val="C848F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5D1A88"/>
    <w:multiLevelType w:val="hybridMultilevel"/>
    <w:tmpl w:val="27B8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9460E"/>
    <w:multiLevelType w:val="hybridMultilevel"/>
    <w:tmpl w:val="97040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A40C8"/>
    <w:multiLevelType w:val="hybridMultilevel"/>
    <w:tmpl w:val="E4F6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E747C0"/>
    <w:multiLevelType w:val="hybridMultilevel"/>
    <w:tmpl w:val="AB1C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4"/>
  </w:num>
  <w:num w:numId="5">
    <w:abstractNumId w:val="2"/>
  </w:num>
  <w:num w:numId="6">
    <w:abstractNumId w:val="8"/>
  </w:num>
  <w:num w:numId="7">
    <w:abstractNumId w:val="5"/>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5E"/>
    <w:rsid w:val="0000704C"/>
    <w:rsid w:val="000717E1"/>
    <w:rsid w:val="00084CB7"/>
    <w:rsid w:val="000C153B"/>
    <w:rsid w:val="000F2A66"/>
    <w:rsid w:val="00195956"/>
    <w:rsid w:val="001B2B1E"/>
    <w:rsid w:val="001E17AB"/>
    <w:rsid w:val="0020197F"/>
    <w:rsid w:val="00231DD3"/>
    <w:rsid w:val="00240573"/>
    <w:rsid w:val="00252014"/>
    <w:rsid w:val="00265A53"/>
    <w:rsid w:val="00274573"/>
    <w:rsid w:val="002A3727"/>
    <w:rsid w:val="002B51ED"/>
    <w:rsid w:val="002E0229"/>
    <w:rsid w:val="002F06AB"/>
    <w:rsid w:val="002F4594"/>
    <w:rsid w:val="00360AF8"/>
    <w:rsid w:val="00363B7E"/>
    <w:rsid w:val="003654B6"/>
    <w:rsid w:val="003774EC"/>
    <w:rsid w:val="00404D00"/>
    <w:rsid w:val="00422EC6"/>
    <w:rsid w:val="00436313"/>
    <w:rsid w:val="004948AD"/>
    <w:rsid w:val="004D1A50"/>
    <w:rsid w:val="0052463D"/>
    <w:rsid w:val="00525001"/>
    <w:rsid w:val="00531A42"/>
    <w:rsid w:val="005A485E"/>
    <w:rsid w:val="005D3974"/>
    <w:rsid w:val="005D399F"/>
    <w:rsid w:val="00620F7A"/>
    <w:rsid w:val="006328DE"/>
    <w:rsid w:val="00647AF4"/>
    <w:rsid w:val="00647F7A"/>
    <w:rsid w:val="0067406C"/>
    <w:rsid w:val="006C54A8"/>
    <w:rsid w:val="006E009B"/>
    <w:rsid w:val="006F622E"/>
    <w:rsid w:val="0073751F"/>
    <w:rsid w:val="0074081A"/>
    <w:rsid w:val="007513EB"/>
    <w:rsid w:val="00796C43"/>
    <w:rsid w:val="007A0AE3"/>
    <w:rsid w:val="007F5612"/>
    <w:rsid w:val="00846FA1"/>
    <w:rsid w:val="008874A2"/>
    <w:rsid w:val="008D3678"/>
    <w:rsid w:val="008F2807"/>
    <w:rsid w:val="0090056E"/>
    <w:rsid w:val="00931FBD"/>
    <w:rsid w:val="0094261A"/>
    <w:rsid w:val="00993893"/>
    <w:rsid w:val="009B6ED9"/>
    <w:rsid w:val="009C0B3A"/>
    <w:rsid w:val="009F7447"/>
    <w:rsid w:val="00A37965"/>
    <w:rsid w:val="00AB3CB5"/>
    <w:rsid w:val="00AF53C6"/>
    <w:rsid w:val="00AF7B20"/>
    <w:rsid w:val="00B4134A"/>
    <w:rsid w:val="00B8088C"/>
    <w:rsid w:val="00C00493"/>
    <w:rsid w:val="00C55509"/>
    <w:rsid w:val="00CB71CC"/>
    <w:rsid w:val="00CC4891"/>
    <w:rsid w:val="00CD3677"/>
    <w:rsid w:val="00CF399A"/>
    <w:rsid w:val="00D62E5A"/>
    <w:rsid w:val="00D631B5"/>
    <w:rsid w:val="00D73A2E"/>
    <w:rsid w:val="00D83538"/>
    <w:rsid w:val="00DA4BEB"/>
    <w:rsid w:val="00DC3AD2"/>
    <w:rsid w:val="00DF49E5"/>
    <w:rsid w:val="00E12AA6"/>
    <w:rsid w:val="00E46DE5"/>
    <w:rsid w:val="00E83CC1"/>
    <w:rsid w:val="00E94752"/>
    <w:rsid w:val="00EC61A6"/>
    <w:rsid w:val="00F23DEE"/>
    <w:rsid w:val="00F36A56"/>
    <w:rsid w:val="00F507B5"/>
    <w:rsid w:val="00F77095"/>
    <w:rsid w:val="00F82661"/>
    <w:rsid w:val="00FB37B9"/>
    <w:rsid w:val="00F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422B"/>
  <w15:docId w15:val="{1E008FDF-8EB6-4F50-8A4B-21A7D661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A485E"/>
    <w:pPr>
      <w:spacing w:line="240" w:lineRule="auto"/>
    </w:pPr>
    <w:rPr>
      <w:sz w:val="20"/>
      <w:szCs w:val="20"/>
    </w:rPr>
  </w:style>
  <w:style w:type="character" w:customStyle="1" w:styleId="CommentTextChar">
    <w:name w:val="Comment Text Char"/>
    <w:basedOn w:val="DefaultParagraphFont"/>
    <w:link w:val="CommentText"/>
    <w:uiPriority w:val="99"/>
    <w:semiHidden/>
    <w:rsid w:val="005A485E"/>
    <w:rPr>
      <w:sz w:val="20"/>
      <w:szCs w:val="20"/>
    </w:rPr>
  </w:style>
  <w:style w:type="paragraph" w:styleId="ListParagraph">
    <w:name w:val="List Paragraph"/>
    <w:basedOn w:val="Normal"/>
    <w:uiPriority w:val="34"/>
    <w:qFormat/>
    <w:rsid w:val="005A485E"/>
    <w:pPr>
      <w:ind w:left="720"/>
      <w:contextualSpacing/>
    </w:pPr>
  </w:style>
  <w:style w:type="character" w:styleId="CommentReference">
    <w:name w:val="annotation reference"/>
    <w:basedOn w:val="DefaultParagraphFont"/>
    <w:uiPriority w:val="99"/>
    <w:semiHidden/>
    <w:unhideWhenUsed/>
    <w:rsid w:val="005A485E"/>
    <w:rPr>
      <w:sz w:val="16"/>
      <w:szCs w:val="16"/>
    </w:rPr>
  </w:style>
  <w:style w:type="paragraph" w:styleId="BalloonText">
    <w:name w:val="Balloon Text"/>
    <w:basedOn w:val="Normal"/>
    <w:link w:val="BalloonTextChar"/>
    <w:uiPriority w:val="99"/>
    <w:semiHidden/>
    <w:unhideWhenUsed/>
    <w:rsid w:val="005A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5E"/>
    <w:rPr>
      <w:rFonts w:ascii="Tahoma" w:hAnsi="Tahoma" w:cs="Tahoma"/>
      <w:sz w:val="16"/>
      <w:szCs w:val="16"/>
    </w:rPr>
  </w:style>
  <w:style w:type="character" w:styleId="Hyperlink">
    <w:name w:val="Hyperlink"/>
    <w:basedOn w:val="DefaultParagraphFont"/>
    <w:uiPriority w:val="99"/>
    <w:unhideWhenUsed/>
    <w:rsid w:val="005A485E"/>
    <w:rPr>
      <w:color w:val="0000FF"/>
      <w:u w:val="single"/>
    </w:rPr>
  </w:style>
  <w:style w:type="paragraph" w:styleId="EndnoteText">
    <w:name w:val="endnote text"/>
    <w:basedOn w:val="Normal"/>
    <w:link w:val="EndnoteTextChar"/>
    <w:uiPriority w:val="99"/>
    <w:semiHidden/>
    <w:unhideWhenUsed/>
    <w:rsid w:val="009C0B3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9C0B3A"/>
    <w:rPr>
      <w:rFonts w:eastAsiaTheme="minorEastAsia"/>
      <w:sz w:val="20"/>
      <w:szCs w:val="20"/>
    </w:rPr>
  </w:style>
  <w:style w:type="character" w:styleId="EndnoteReference">
    <w:name w:val="endnote reference"/>
    <w:basedOn w:val="DefaultParagraphFont"/>
    <w:uiPriority w:val="99"/>
    <w:semiHidden/>
    <w:unhideWhenUsed/>
    <w:rsid w:val="009C0B3A"/>
    <w:rPr>
      <w:vertAlign w:val="superscript"/>
    </w:rPr>
  </w:style>
  <w:style w:type="paragraph" w:styleId="CommentSubject">
    <w:name w:val="annotation subject"/>
    <w:basedOn w:val="CommentText"/>
    <w:next w:val="CommentText"/>
    <w:link w:val="CommentSubjectChar"/>
    <w:uiPriority w:val="99"/>
    <w:semiHidden/>
    <w:unhideWhenUsed/>
    <w:rsid w:val="00E83CC1"/>
    <w:rPr>
      <w:b/>
      <w:bCs/>
    </w:rPr>
  </w:style>
  <w:style w:type="character" w:customStyle="1" w:styleId="CommentSubjectChar">
    <w:name w:val="Comment Subject Char"/>
    <w:basedOn w:val="CommentTextChar"/>
    <w:link w:val="CommentSubject"/>
    <w:uiPriority w:val="99"/>
    <w:semiHidden/>
    <w:rsid w:val="00E83CC1"/>
    <w:rPr>
      <w:b/>
      <w:bCs/>
      <w:sz w:val="20"/>
      <w:szCs w:val="20"/>
    </w:rPr>
  </w:style>
  <w:style w:type="paragraph" w:styleId="FootnoteText">
    <w:name w:val="footnote text"/>
    <w:basedOn w:val="Normal"/>
    <w:link w:val="FootnoteTextChar"/>
    <w:uiPriority w:val="99"/>
    <w:semiHidden/>
    <w:unhideWhenUsed/>
    <w:rsid w:val="00436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313"/>
    <w:rPr>
      <w:sz w:val="20"/>
      <w:szCs w:val="20"/>
    </w:rPr>
  </w:style>
  <w:style w:type="character" w:styleId="FootnoteReference">
    <w:name w:val="footnote reference"/>
    <w:basedOn w:val="DefaultParagraphFont"/>
    <w:uiPriority w:val="99"/>
    <w:semiHidden/>
    <w:unhideWhenUsed/>
    <w:rsid w:val="00436313"/>
    <w:rPr>
      <w:vertAlign w:val="superscript"/>
    </w:rPr>
  </w:style>
  <w:style w:type="table" w:styleId="TableGrid">
    <w:name w:val="Table Grid"/>
    <w:basedOn w:val="TableNormal"/>
    <w:uiPriority w:val="59"/>
    <w:rsid w:val="0036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967">
      <w:bodyDiv w:val="1"/>
      <w:marLeft w:val="0"/>
      <w:marRight w:val="0"/>
      <w:marTop w:val="0"/>
      <w:marBottom w:val="0"/>
      <w:divBdr>
        <w:top w:val="none" w:sz="0" w:space="0" w:color="auto"/>
        <w:left w:val="none" w:sz="0" w:space="0" w:color="auto"/>
        <w:bottom w:val="none" w:sz="0" w:space="0" w:color="auto"/>
        <w:right w:val="none" w:sz="0" w:space="0" w:color="auto"/>
      </w:divBdr>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ine.cerny@ukhealthforum.org.uk" TargetMode="External"/><Relationship Id="rId4" Type="http://schemas.openxmlformats.org/officeDocument/2006/relationships/settings" Target="settings.xml"/><Relationship Id="rId9" Type="http://schemas.openxmlformats.org/officeDocument/2006/relationships/hyperlink" Target="mailto:melissa.milner@rcpch.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tent.digital.nhs.uk/catalogue/PUB23742" TargetMode="External"/><Relationship Id="rId2" Type="http://schemas.openxmlformats.org/officeDocument/2006/relationships/hyperlink" Target="https://www.nice.org.uk/news/article/offer-weight-loss-surgery-to-diabetics" TargetMode="External"/><Relationship Id="rId1" Type="http://schemas.openxmlformats.org/officeDocument/2006/relationships/hyperlink" Target="https://www.thegrocer.co.uk/attachment?storycode=550799&amp;attype=T&amp;atcode=113157" TargetMode="External"/><Relationship Id="rId4" Type="http://schemas.openxmlformats.org/officeDocument/2006/relationships/hyperlink" Target="http://www.cancerresearchuk.org/about-us/cancer-news/press-release/2016-07-05-junk-food-advertising-is-too-tempting-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166A-DF4C-44C1-8DBB-B01F00C9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Michael Baber</cp:lastModifiedBy>
  <cp:revision>2</cp:revision>
  <dcterms:created xsi:type="dcterms:W3CDTF">2017-10-12T10:04:00Z</dcterms:created>
  <dcterms:modified xsi:type="dcterms:W3CDTF">2017-10-12T10:04:00Z</dcterms:modified>
</cp:coreProperties>
</file>